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768E7">
      <w:pPr>
        <w:spacing w:line="560" w:lineRule="exact"/>
        <w:jc w:val="center"/>
        <w:outlineLvl w:val="0"/>
        <w:rPr>
          <w:rFonts w:hint="eastAsia" w:ascii="方正小标宋简体" w:hAnsi="方正小标宋简体" w:eastAsia="方正小标宋简体" w:cs="方正小标宋简体"/>
          <w:sz w:val="32"/>
          <w:szCs w:val="32"/>
        </w:rPr>
      </w:pPr>
      <w:bookmarkStart w:id="0" w:name="_Toc25162"/>
      <w:bookmarkStart w:id="1" w:name="_Toc10535"/>
      <w:bookmarkStart w:id="2" w:name="OLE_LINK1"/>
      <w:bookmarkStart w:id="14" w:name="_GoBack"/>
      <w:r>
        <w:rPr>
          <w:rFonts w:ascii="Times New Roman" w:hAnsi="Times New Roman" w:eastAsia="方正小标宋简体" w:cs="Times New Roman"/>
          <w:sz w:val="44"/>
          <w:szCs w:val="44"/>
        </w:rPr>
        <w:t>基层就业卓越奖</w:t>
      </w:r>
      <w:r>
        <w:rPr>
          <w:rFonts w:hint="eastAsia" w:ascii="Times New Roman" w:hAnsi="Times New Roman" w:eastAsia="方正小标宋简体" w:cs="Times New Roman"/>
          <w:sz w:val="44"/>
          <w:szCs w:val="44"/>
          <w:lang w:val="en-US" w:eastAsia="zh-CN"/>
        </w:rPr>
        <w:t>获奖</w:t>
      </w:r>
      <w:r>
        <w:rPr>
          <w:rFonts w:ascii="Times New Roman" w:hAnsi="Times New Roman" w:eastAsia="方正小标宋简体" w:cs="Times New Roman"/>
          <w:sz w:val="44"/>
          <w:szCs w:val="44"/>
        </w:rPr>
        <w:t>个人事迹案例</w:t>
      </w:r>
      <w:bookmarkEnd w:id="0"/>
      <w:bookmarkEnd w:id="1"/>
    </w:p>
    <w:sdt>
      <w:sdtPr>
        <w:rPr>
          <w:rFonts w:ascii="宋体" w:hAnsi="宋体" w:eastAsia="宋体" w:cstheme="minorBidi"/>
          <w:kern w:val="2"/>
          <w:sz w:val="21"/>
          <w:szCs w:val="24"/>
          <w:lang w:val="en-US" w:eastAsia="zh-CN" w:bidi="ar-SA"/>
          <w14:ligatures w14:val="standardContextual"/>
        </w:rPr>
        <w:id w:val="147465880"/>
        <w15:color w:val="DBDBDB"/>
        <w:docPartObj>
          <w:docPartGallery w:val="Table of Contents"/>
          <w:docPartUnique/>
        </w:docPartObj>
      </w:sdtPr>
      <w:sdtEndPr>
        <w:rPr>
          <w:rFonts w:hint="eastAsia" w:eastAsia="黑体" w:asciiTheme="majorAscii" w:hAnsiTheme="majorAscii" w:cstheme="majorBidi"/>
          <w:color w:val="000000" w:themeColor="text1"/>
          <w:kern w:val="2"/>
          <w:sz w:val="36"/>
          <w:szCs w:val="48"/>
          <w:lang w:val="en-US" w:eastAsia="zh-CN" w:bidi="ar-SA"/>
          <w14:textFill>
            <w14:solidFill>
              <w14:schemeClr w14:val="tx1"/>
            </w14:solidFill>
          </w14:textFill>
          <w14:ligatures w14:val="standardContextual"/>
        </w:rPr>
      </w:sdtEndPr>
      <w:sdtContent>
        <w:p w14:paraId="122AA93B">
          <w:pPr>
            <w:spacing w:before="0" w:beforeLines="0" w:after="0" w:afterLines="0" w:line="240" w:lineRule="auto"/>
            <w:ind w:left="0" w:leftChars="0" w:right="0" w:rightChars="0" w:firstLine="0" w:firstLineChars="0"/>
            <w:jc w:val="center"/>
          </w:pPr>
          <w:r>
            <w:rPr>
              <w:rFonts w:ascii="宋体" w:hAnsi="宋体" w:eastAsia="宋体"/>
              <w:sz w:val="21"/>
            </w:rPr>
            <w:t>目录</w:t>
          </w:r>
        </w:p>
        <w:p w14:paraId="753433E0">
          <w:pPr>
            <w:pStyle w:val="13"/>
            <w:tabs>
              <w:tab w:val="right" w:leader="dot" w:pos="8306"/>
            </w:tabs>
          </w:pPr>
          <w:r>
            <w:rPr>
              <w:rFonts w:hint="eastAsia"/>
            </w:rPr>
            <w:fldChar w:fldCharType="begin"/>
          </w:r>
          <w:r>
            <w:rPr>
              <w:rFonts w:hint="eastAsia"/>
            </w:rPr>
            <w:instrText xml:space="preserve">TOC \o "1-1" \h \u </w:instrText>
          </w:r>
          <w:r>
            <w:rPr>
              <w:rFonts w:hint="eastAsia"/>
            </w:rPr>
            <w:fldChar w:fldCharType="separate"/>
          </w:r>
          <w:r>
            <w:rPr>
              <w:rFonts w:hint="eastAsia"/>
            </w:rPr>
            <w:fldChar w:fldCharType="begin"/>
          </w:r>
          <w:r>
            <w:rPr>
              <w:rFonts w:hint="eastAsia"/>
            </w:rPr>
            <w:instrText xml:space="preserve"> HYPERLINK \l _Toc10535 </w:instrText>
          </w:r>
          <w:r>
            <w:rPr>
              <w:rFonts w:hint="eastAsia"/>
            </w:rPr>
            <w:fldChar w:fldCharType="separate"/>
          </w:r>
          <w:r>
            <w:rPr>
              <w:rFonts w:ascii="Times New Roman" w:hAnsi="Times New Roman" w:eastAsia="方正小标宋简体" w:cs="Times New Roman"/>
              <w:szCs w:val="44"/>
            </w:rPr>
            <w:t>基层就业卓越奖</w:t>
          </w:r>
          <w:r>
            <w:rPr>
              <w:rFonts w:hint="eastAsia" w:ascii="Times New Roman" w:hAnsi="Times New Roman" w:eastAsia="方正小标宋简体" w:cs="Times New Roman"/>
              <w:szCs w:val="44"/>
              <w:lang w:val="en-US" w:eastAsia="zh-CN"/>
            </w:rPr>
            <w:t>获奖</w:t>
          </w:r>
          <w:r>
            <w:rPr>
              <w:rFonts w:ascii="Times New Roman" w:hAnsi="Times New Roman" w:eastAsia="方正小标宋简体" w:cs="Times New Roman"/>
              <w:szCs w:val="44"/>
            </w:rPr>
            <w:t>个人事迹案例</w:t>
          </w:r>
          <w:r>
            <w:tab/>
          </w:r>
          <w:r>
            <w:fldChar w:fldCharType="begin"/>
          </w:r>
          <w:r>
            <w:instrText xml:space="preserve"> PAGEREF _Toc10535 \h </w:instrText>
          </w:r>
          <w:r>
            <w:fldChar w:fldCharType="separate"/>
          </w:r>
          <w:r>
            <w:t>1</w:t>
          </w:r>
          <w:r>
            <w:fldChar w:fldCharType="end"/>
          </w:r>
          <w:r>
            <w:rPr>
              <w:rFonts w:hint="eastAsia"/>
            </w:rPr>
            <w:fldChar w:fldCharType="end"/>
          </w:r>
        </w:p>
        <w:p w14:paraId="3B1ABC9E">
          <w:pPr>
            <w:pStyle w:val="13"/>
            <w:tabs>
              <w:tab w:val="right" w:leader="dot" w:pos="8306"/>
            </w:tabs>
          </w:pPr>
          <w:r>
            <w:rPr>
              <w:rFonts w:hint="eastAsia"/>
            </w:rPr>
            <w:fldChar w:fldCharType="begin"/>
          </w:r>
          <w:r>
            <w:rPr>
              <w:rFonts w:hint="eastAsia"/>
            </w:rPr>
            <w:instrText xml:space="preserve"> HYPERLINK \l _Toc23811 </w:instrText>
          </w:r>
          <w:r>
            <w:rPr>
              <w:rFonts w:hint="eastAsia"/>
            </w:rPr>
            <w:fldChar w:fldCharType="separate"/>
          </w:r>
          <w:r>
            <w:rPr>
              <w:rFonts w:hint="eastAsia"/>
            </w:rPr>
            <w:t>教师案例</w:t>
          </w:r>
          <w:r>
            <w:tab/>
          </w:r>
          <w:r>
            <w:fldChar w:fldCharType="begin"/>
          </w:r>
          <w:r>
            <w:instrText xml:space="preserve"> PAGEREF _Toc23811 \h </w:instrText>
          </w:r>
          <w:r>
            <w:fldChar w:fldCharType="separate"/>
          </w:r>
          <w:r>
            <w:t>2</w:t>
          </w:r>
          <w:r>
            <w:fldChar w:fldCharType="end"/>
          </w:r>
          <w:r>
            <w:rPr>
              <w:rFonts w:hint="eastAsia"/>
            </w:rPr>
            <w:fldChar w:fldCharType="end"/>
          </w:r>
        </w:p>
        <w:p w14:paraId="2163DBEF">
          <w:pPr>
            <w:pStyle w:val="13"/>
            <w:tabs>
              <w:tab w:val="right" w:leader="dot" w:pos="8306"/>
            </w:tabs>
          </w:pPr>
          <w:r>
            <w:rPr>
              <w:rFonts w:hint="eastAsia"/>
            </w:rPr>
            <w:fldChar w:fldCharType="begin"/>
          </w:r>
          <w:r>
            <w:rPr>
              <w:rFonts w:hint="eastAsia"/>
            </w:rPr>
            <w:instrText xml:space="preserve"> HYPERLINK \l _Toc29476 </w:instrText>
          </w:r>
          <w:r>
            <w:rPr>
              <w:rFonts w:hint="eastAsia"/>
            </w:rPr>
            <w:fldChar w:fldCharType="separate"/>
          </w:r>
          <w:r>
            <w:rPr>
              <w:rFonts w:hint="eastAsia"/>
            </w:rPr>
            <w:t>毕业生案例一</w:t>
          </w:r>
          <w:r>
            <w:rPr>
              <w:rFonts w:hint="eastAsia"/>
              <w:lang w:eastAsia="zh-CN"/>
            </w:rPr>
            <w:t>（</w:t>
          </w:r>
          <w:r>
            <w:rPr>
              <w:rFonts w:hint="eastAsia"/>
              <w:lang w:val="en-US" w:eastAsia="zh-CN"/>
            </w:rPr>
            <w:t>选调生</w:t>
          </w:r>
          <w:r>
            <w:rPr>
              <w:rFonts w:hint="eastAsia"/>
              <w:lang w:eastAsia="zh-CN"/>
            </w:rPr>
            <w:t>）</w:t>
          </w:r>
          <w:r>
            <w:tab/>
          </w:r>
          <w:r>
            <w:fldChar w:fldCharType="begin"/>
          </w:r>
          <w:r>
            <w:instrText xml:space="preserve"> PAGEREF _Toc29476 \h </w:instrText>
          </w:r>
          <w:r>
            <w:fldChar w:fldCharType="separate"/>
          </w:r>
          <w:r>
            <w:t>5</w:t>
          </w:r>
          <w:r>
            <w:fldChar w:fldCharType="end"/>
          </w:r>
          <w:r>
            <w:rPr>
              <w:rFonts w:hint="eastAsia"/>
            </w:rPr>
            <w:fldChar w:fldCharType="end"/>
          </w:r>
        </w:p>
        <w:p w14:paraId="65217326">
          <w:pPr>
            <w:pStyle w:val="13"/>
            <w:tabs>
              <w:tab w:val="right" w:leader="dot" w:pos="8306"/>
            </w:tabs>
          </w:pPr>
          <w:r>
            <w:rPr>
              <w:rFonts w:hint="eastAsia"/>
            </w:rPr>
            <w:fldChar w:fldCharType="begin"/>
          </w:r>
          <w:r>
            <w:rPr>
              <w:rFonts w:hint="eastAsia"/>
            </w:rPr>
            <w:instrText xml:space="preserve"> HYPERLINK \l _Toc29585 </w:instrText>
          </w:r>
          <w:r>
            <w:rPr>
              <w:rFonts w:hint="eastAsia"/>
            </w:rPr>
            <w:fldChar w:fldCharType="separate"/>
          </w:r>
          <w:r>
            <w:rPr>
              <w:rFonts w:hint="eastAsia"/>
            </w:rPr>
            <w:t>毕业生案例</w:t>
          </w:r>
          <w:r>
            <w:rPr>
              <w:rFonts w:hint="eastAsia"/>
              <w:lang w:val="en-US" w:eastAsia="zh-CN"/>
            </w:rPr>
            <w:t>二</w:t>
          </w:r>
          <w:r>
            <w:rPr>
              <w:rFonts w:hint="eastAsia"/>
              <w:lang w:eastAsia="zh-CN"/>
            </w:rPr>
            <w:t>（县级及以下党政机关）</w:t>
          </w:r>
          <w:r>
            <w:tab/>
          </w:r>
          <w:r>
            <w:fldChar w:fldCharType="begin"/>
          </w:r>
          <w:r>
            <w:instrText xml:space="preserve"> PAGEREF _Toc29585 \h </w:instrText>
          </w:r>
          <w:r>
            <w:fldChar w:fldCharType="separate"/>
          </w:r>
          <w:r>
            <w:t>9</w:t>
          </w:r>
          <w:r>
            <w:fldChar w:fldCharType="end"/>
          </w:r>
          <w:r>
            <w:rPr>
              <w:rFonts w:hint="eastAsia"/>
            </w:rPr>
            <w:fldChar w:fldCharType="end"/>
          </w:r>
        </w:p>
        <w:p w14:paraId="79AFB93A">
          <w:pPr>
            <w:pStyle w:val="13"/>
            <w:tabs>
              <w:tab w:val="right" w:leader="dot" w:pos="8306"/>
            </w:tabs>
          </w:pPr>
          <w:r>
            <w:rPr>
              <w:rFonts w:hint="eastAsia"/>
            </w:rPr>
            <w:fldChar w:fldCharType="begin"/>
          </w:r>
          <w:r>
            <w:rPr>
              <w:rFonts w:hint="eastAsia"/>
            </w:rPr>
            <w:instrText xml:space="preserve"> HYPERLINK \l _Toc25097 </w:instrText>
          </w:r>
          <w:r>
            <w:rPr>
              <w:rFonts w:hint="eastAsia"/>
            </w:rPr>
            <w:fldChar w:fldCharType="separate"/>
          </w:r>
          <w:r>
            <w:rPr>
              <w:rFonts w:hint="eastAsia"/>
            </w:rPr>
            <w:t>毕业生案例</w:t>
          </w:r>
          <w:r>
            <w:rPr>
              <w:rFonts w:hint="eastAsia"/>
              <w:lang w:val="en-US" w:eastAsia="zh-CN"/>
            </w:rPr>
            <w:t>三</w:t>
          </w:r>
          <w:r>
            <w:rPr>
              <w:rFonts w:hint="eastAsia"/>
              <w:lang w:eastAsia="zh-CN"/>
            </w:rPr>
            <w:t>（县级及以下</w:t>
          </w:r>
          <w:r>
            <w:rPr>
              <w:rFonts w:hint="eastAsia"/>
              <w:lang w:val="en-US" w:eastAsia="zh-CN"/>
            </w:rPr>
            <w:t>企业单位</w:t>
          </w:r>
          <w:r>
            <w:rPr>
              <w:rFonts w:hint="eastAsia"/>
              <w:lang w:eastAsia="zh-CN"/>
            </w:rPr>
            <w:t>）</w:t>
          </w:r>
          <w:r>
            <w:tab/>
          </w:r>
          <w:r>
            <w:fldChar w:fldCharType="begin"/>
          </w:r>
          <w:r>
            <w:instrText xml:space="preserve"> PAGEREF _Toc25097 \h </w:instrText>
          </w:r>
          <w:r>
            <w:fldChar w:fldCharType="separate"/>
          </w:r>
          <w:r>
            <w:t>11</w:t>
          </w:r>
          <w:r>
            <w:fldChar w:fldCharType="end"/>
          </w:r>
          <w:r>
            <w:rPr>
              <w:rFonts w:hint="eastAsia"/>
            </w:rPr>
            <w:fldChar w:fldCharType="end"/>
          </w:r>
        </w:p>
        <w:p w14:paraId="37B2562C">
          <w:pPr>
            <w:pStyle w:val="13"/>
            <w:tabs>
              <w:tab w:val="right" w:leader="dot" w:pos="8306"/>
            </w:tabs>
          </w:pPr>
          <w:r>
            <w:rPr>
              <w:rFonts w:hint="eastAsia"/>
            </w:rPr>
            <w:fldChar w:fldCharType="begin"/>
          </w:r>
          <w:r>
            <w:rPr>
              <w:rFonts w:hint="eastAsia"/>
            </w:rPr>
            <w:instrText xml:space="preserve"> HYPERLINK \l _Toc24278 </w:instrText>
          </w:r>
          <w:r>
            <w:rPr>
              <w:rFonts w:hint="eastAsia"/>
            </w:rPr>
            <w:fldChar w:fldCharType="separate"/>
          </w:r>
          <w:r>
            <w:rPr>
              <w:rFonts w:hint="eastAsia"/>
            </w:rPr>
            <w:t>毕业生案例</w:t>
          </w:r>
          <w:r>
            <w:rPr>
              <w:rFonts w:hint="eastAsia"/>
              <w:lang w:val="en-US" w:eastAsia="zh-CN"/>
            </w:rPr>
            <w:t>四</w:t>
          </w:r>
          <w:r>
            <w:rPr>
              <w:rFonts w:hint="eastAsia"/>
              <w:lang w:eastAsia="zh-CN"/>
            </w:rPr>
            <w:t>（县级及以下事业单位）</w:t>
          </w:r>
          <w:r>
            <w:tab/>
          </w:r>
          <w:r>
            <w:fldChar w:fldCharType="begin"/>
          </w:r>
          <w:r>
            <w:instrText xml:space="preserve"> PAGEREF _Toc24278 \h </w:instrText>
          </w:r>
          <w:r>
            <w:fldChar w:fldCharType="separate"/>
          </w:r>
          <w:r>
            <w:t>14</w:t>
          </w:r>
          <w:r>
            <w:fldChar w:fldCharType="end"/>
          </w:r>
          <w:r>
            <w:rPr>
              <w:rFonts w:hint="eastAsia"/>
            </w:rPr>
            <w:fldChar w:fldCharType="end"/>
          </w:r>
        </w:p>
        <w:p w14:paraId="564D72B2">
          <w:pPr>
            <w:pStyle w:val="13"/>
            <w:tabs>
              <w:tab w:val="right" w:leader="dot" w:pos="8306"/>
            </w:tabs>
          </w:pPr>
          <w:r>
            <w:rPr>
              <w:rFonts w:hint="eastAsia"/>
            </w:rPr>
            <w:fldChar w:fldCharType="begin"/>
          </w:r>
          <w:r>
            <w:rPr>
              <w:rFonts w:hint="eastAsia"/>
            </w:rPr>
            <w:instrText xml:space="preserve"> HYPERLINK \l _Toc2439 </w:instrText>
          </w:r>
          <w:r>
            <w:rPr>
              <w:rFonts w:hint="eastAsia"/>
            </w:rPr>
            <w:fldChar w:fldCharType="separate"/>
          </w:r>
          <w:r>
            <w:rPr>
              <w:rFonts w:hint="eastAsia"/>
            </w:rPr>
            <w:t>毕业生案例</w:t>
          </w:r>
          <w:r>
            <w:rPr>
              <w:rFonts w:hint="eastAsia"/>
              <w:lang w:val="en-US" w:eastAsia="zh-CN"/>
            </w:rPr>
            <w:t>五</w:t>
          </w:r>
          <w:r>
            <w:rPr>
              <w:rFonts w:hint="eastAsia"/>
              <w:lang w:eastAsia="zh-CN"/>
            </w:rPr>
            <w:t>（</w:t>
          </w:r>
          <w:r>
            <w:rPr>
              <w:rFonts w:hint="eastAsia"/>
              <w:lang w:val="en-US" w:eastAsia="zh-CN"/>
            </w:rPr>
            <w:t>自主创业</w:t>
          </w:r>
          <w:r>
            <w:rPr>
              <w:rFonts w:hint="eastAsia"/>
              <w:lang w:eastAsia="zh-CN"/>
            </w:rPr>
            <w:t>）</w:t>
          </w:r>
          <w:r>
            <w:tab/>
          </w:r>
          <w:r>
            <w:fldChar w:fldCharType="begin"/>
          </w:r>
          <w:r>
            <w:instrText xml:space="preserve"> PAGEREF _Toc2439 \h </w:instrText>
          </w:r>
          <w:r>
            <w:fldChar w:fldCharType="separate"/>
          </w:r>
          <w:r>
            <w:t>18</w:t>
          </w:r>
          <w:r>
            <w:fldChar w:fldCharType="end"/>
          </w:r>
          <w:r>
            <w:rPr>
              <w:rFonts w:hint="eastAsia"/>
            </w:rPr>
            <w:fldChar w:fldCharType="end"/>
          </w:r>
        </w:p>
        <w:p w14:paraId="61A32F9B">
          <w:pPr>
            <w:pStyle w:val="13"/>
            <w:tabs>
              <w:tab w:val="right" w:leader="dot" w:pos="8306"/>
            </w:tabs>
          </w:pPr>
          <w:r>
            <w:rPr>
              <w:rFonts w:hint="eastAsia"/>
            </w:rPr>
            <w:fldChar w:fldCharType="begin"/>
          </w:r>
          <w:r>
            <w:rPr>
              <w:rFonts w:hint="eastAsia"/>
            </w:rPr>
            <w:instrText xml:space="preserve"> HYPERLINK \l _Toc31004 </w:instrText>
          </w:r>
          <w:r>
            <w:rPr>
              <w:rFonts w:hint="eastAsia"/>
            </w:rPr>
            <w:fldChar w:fldCharType="separate"/>
          </w:r>
          <w:r>
            <w:rPr>
              <w:rFonts w:hint="eastAsia"/>
            </w:rPr>
            <w:t>毕业生案例</w:t>
          </w:r>
          <w:r>
            <w:rPr>
              <w:rFonts w:hint="eastAsia"/>
              <w:lang w:val="en-US" w:eastAsia="zh-CN"/>
            </w:rPr>
            <w:t>六</w:t>
          </w:r>
          <w:r>
            <w:rPr>
              <w:rFonts w:hint="eastAsia"/>
              <w:lang w:eastAsia="zh-CN"/>
            </w:rPr>
            <w:t>（县级及以下非公有制组织和中小企业）</w:t>
          </w:r>
          <w:r>
            <w:tab/>
          </w:r>
          <w:r>
            <w:fldChar w:fldCharType="begin"/>
          </w:r>
          <w:r>
            <w:instrText xml:space="preserve"> PAGEREF _Toc31004 \h </w:instrText>
          </w:r>
          <w:r>
            <w:fldChar w:fldCharType="separate"/>
          </w:r>
          <w:r>
            <w:t>21</w:t>
          </w:r>
          <w:r>
            <w:fldChar w:fldCharType="end"/>
          </w:r>
          <w:r>
            <w:rPr>
              <w:rFonts w:hint="eastAsia"/>
            </w:rPr>
            <w:fldChar w:fldCharType="end"/>
          </w:r>
        </w:p>
        <w:p w14:paraId="7EEFEEC6">
          <w:pPr>
            <w:pStyle w:val="13"/>
            <w:tabs>
              <w:tab w:val="right" w:leader="dot" w:pos="8306"/>
            </w:tabs>
          </w:pPr>
          <w:r>
            <w:rPr>
              <w:rFonts w:hint="eastAsia"/>
            </w:rPr>
            <w:fldChar w:fldCharType="begin"/>
          </w:r>
          <w:r>
            <w:rPr>
              <w:rFonts w:hint="eastAsia"/>
            </w:rPr>
            <w:instrText xml:space="preserve"> HYPERLINK \l _Toc8851 </w:instrText>
          </w:r>
          <w:r>
            <w:rPr>
              <w:rFonts w:hint="eastAsia"/>
            </w:rPr>
            <w:fldChar w:fldCharType="separate"/>
          </w:r>
          <w:r>
            <w:rPr>
              <w:rFonts w:hint="eastAsia"/>
              <w:lang w:val="en-US" w:eastAsia="zh-CN"/>
            </w:rPr>
            <w:t>毕业生案例七（团级以下单位应征入伍）</w:t>
          </w:r>
          <w:r>
            <w:tab/>
          </w:r>
          <w:r>
            <w:fldChar w:fldCharType="begin"/>
          </w:r>
          <w:r>
            <w:instrText xml:space="preserve"> PAGEREF _Toc8851 \h </w:instrText>
          </w:r>
          <w:r>
            <w:fldChar w:fldCharType="separate"/>
          </w:r>
          <w:r>
            <w:t>24</w:t>
          </w:r>
          <w:r>
            <w:fldChar w:fldCharType="end"/>
          </w:r>
          <w:r>
            <w:rPr>
              <w:rFonts w:hint="eastAsia"/>
            </w:rPr>
            <w:fldChar w:fldCharType="end"/>
          </w:r>
        </w:p>
        <w:p w14:paraId="25393B82">
          <w:pPr>
            <w:pStyle w:val="13"/>
            <w:tabs>
              <w:tab w:val="right" w:leader="dot" w:pos="8306"/>
            </w:tabs>
          </w:pPr>
          <w:r>
            <w:rPr>
              <w:rFonts w:hint="eastAsia"/>
            </w:rPr>
            <w:fldChar w:fldCharType="begin"/>
          </w:r>
          <w:r>
            <w:rPr>
              <w:rFonts w:hint="eastAsia"/>
            </w:rPr>
            <w:instrText xml:space="preserve"> HYPERLINK \l _Toc10230 </w:instrText>
          </w:r>
          <w:r>
            <w:rPr>
              <w:rFonts w:hint="eastAsia"/>
            </w:rPr>
            <w:fldChar w:fldCharType="separate"/>
          </w:r>
          <w:r>
            <w:rPr>
              <w:rFonts w:hint="eastAsia"/>
              <w:lang w:val="en-US" w:eastAsia="zh-CN"/>
            </w:rPr>
            <w:t>毕业生案例八（基层项目，“三支一扶”等）</w:t>
          </w:r>
          <w:r>
            <w:tab/>
          </w:r>
          <w:r>
            <w:fldChar w:fldCharType="begin"/>
          </w:r>
          <w:r>
            <w:instrText xml:space="preserve"> PAGEREF _Toc10230 \h </w:instrText>
          </w:r>
          <w:r>
            <w:fldChar w:fldCharType="separate"/>
          </w:r>
          <w:r>
            <w:t>28</w:t>
          </w:r>
          <w:r>
            <w:fldChar w:fldCharType="end"/>
          </w:r>
          <w:r>
            <w:rPr>
              <w:rFonts w:hint="eastAsia"/>
            </w:rPr>
            <w:fldChar w:fldCharType="end"/>
          </w:r>
        </w:p>
        <w:p w14:paraId="6360095C">
          <w:pPr>
            <w:pStyle w:val="13"/>
            <w:tabs>
              <w:tab w:val="right" w:leader="dot" w:pos="8306"/>
            </w:tabs>
          </w:pPr>
          <w:r>
            <w:rPr>
              <w:rFonts w:hint="eastAsia"/>
            </w:rPr>
            <w:fldChar w:fldCharType="begin"/>
          </w:r>
          <w:r>
            <w:rPr>
              <w:rFonts w:hint="eastAsia"/>
            </w:rPr>
            <w:instrText xml:space="preserve"> HYPERLINK \l _Toc4900 </w:instrText>
          </w:r>
          <w:r>
            <w:rPr>
              <w:rFonts w:hint="eastAsia"/>
            </w:rPr>
            <w:fldChar w:fldCharType="separate"/>
          </w:r>
          <w:r>
            <w:rPr>
              <w:rFonts w:hint="eastAsia"/>
              <w:lang w:val="en-US" w:eastAsia="zh-CN"/>
            </w:rPr>
            <w:t>毕业生案例九（县级及以下企业单位）</w:t>
          </w:r>
          <w:r>
            <w:tab/>
          </w:r>
          <w:r>
            <w:fldChar w:fldCharType="begin"/>
          </w:r>
          <w:r>
            <w:instrText xml:space="preserve"> PAGEREF _Toc4900 \h </w:instrText>
          </w:r>
          <w:r>
            <w:fldChar w:fldCharType="separate"/>
          </w:r>
          <w:r>
            <w:t>32</w:t>
          </w:r>
          <w:r>
            <w:fldChar w:fldCharType="end"/>
          </w:r>
          <w:r>
            <w:rPr>
              <w:rFonts w:hint="eastAsia"/>
            </w:rPr>
            <w:fldChar w:fldCharType="end"/>
          </w:r>
        </w:p>
        <w:p w14:paraId="78F4D50E">
          <w:pPr>
            <w:pStyle w:val="2"/>
            <w:bidi w:val="0"/>
            <w:rPr>
              <w:rFonts w:hint="eastAsia" w:eastAsia="黑体" w:asciiTheme="majorAscii" w:hAnsiTheme="majorAscii" w:cstheme="majorBidi"/>
              <w:color w:val="000000" w:themeColor="text1"/>
              <w:kern w:val="2"/>
              <w:sz w:val="36"/>
              <w:szCs w:val="48"/>
              <w:lang w:val="en-US" w:eastAsia="zh-CN" w:bidi="ar-SA"/>
              <w14:textFill>
                <w14:solidFill>
                  <w14:schemeClr w14:val="tx1"/>
                </w14:solidFill>
              </w14:textFill>
              <w14:ligatures w14:val="standardContextual"/>
            </w:rPr>
          </w:pPr>
          <w:r>
            <w:rPr>
              <w:rFonts w:hint="eastAsia"/>
            </w:rPr>
            <w:fldChar w:fldCharType="end"/>
          </w:r>
        </w:p>
      </w:sdtContent>
    </w:sdt>
    <w:p w14:paraId="7C091D5D">
      <w:pPr>
        <w:rPr>
          <w:rFonts w:hint="eastAsia"/>
        </w:rPr>
      </w:pPr>
      <w:r>
        <w:rPr>
          <w:rFonts w:hint="eastAsia"/>
        </w:rPr>
        <w:br w:type="page"/>
      </w:r>
    </w:p>
    <w:p w14:paraId="6D136910">
      <w:pPr>
        <w:pStyle w:val="2"/>
        <w:pageBreakBefore w:val="0"/>
        <w:kinsoku/>
        <w:wordWrap/>
        <w:overflowPunct/>
        <w:topLinePunct w:val="0"/>
        <w:autoSpaceDE/>
        <w:autoSpaceDN/>
        <w:bidi w:val="0"/>
        <w:adjustRightInd/>
        <w:snapToGrid/>
        <w:spacing w:before="0" w:after="0" w:line="560" w:lineRule="exact"/>
        <w:textAlignment w:val="auto"/>
      </w:pPr>
      <w:bookmarkStart w:id="3" w:name="_Toc23811"/>
      <w:r>
        <w:rPr>
          <w:rFonts w:hint="eastAsia"/>
        </w:rPr>
        <w:t>教师案例</w:t>
      </w:r>
      <w:bookmarkEnd w:id="3"/>
    </w:p>
    <w:p w14:paraId="1CB27A4F">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王燕芳，女，中共党员，中山大学公共卫生学院党委副书记、副教授。曾以第一作者发表论文并获全国高校辅导员优秀论文一等奖；曾获广东省高校辅导员年度人物提名奖、广东省高校辅导员最具专业精神奖、第十届广东高校学生工作红棉奖、2022年中山大学征兵工作先进个人、2023年中山大学就业工作先进个人等奖项。她负责指导的“一缕阳光支教项目”曾获广东省百项校外教育成果二等奖；带领公共卫生学院连续两年获得校征兵工作先进单位、校就业工作先进单位等荣誉。</w:t>
      </w:r>
    </w:p>
    <w:p w14:paraId="060AE6F8">
      <w:pPr>
        <w:pageBreakBefore w:val="0"/>
        <w:kinsoku/>
        <w:wordWrap/>
        <w:overflowPunct/>
        <w:topLinePunct w:val="0"/>
        <w:autoSpaceDE/>
        <w:autoSpaceDN/>
        <w:bidi w:val="0"/>
        <w:adjustRightInd/>
        <w:snapToGrid/>
        <w:spacing w:after="0" w:line="560" w:lineRule="exact"/>
        <w:jc w:val="center"/>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个人事迹</w:t>
      </w:r>
    </w:p>
    <w:p w14:paraId="6B4B6965">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一、精专业强本领 夯实基层就业之基</w:t>
      </w:r>
    </w:p>
    <w:p w14:paraId="47173576">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王燕芳老师从事学生工作25年来勤学不辍，深耕职业生涯规划教育。</w:t>
      </w:r>
      <w:r>
        <w:rPr>
          <w:rFonts w:ascii="Times New Roman" w:hAnsi="Times New Roman" w:eastAsia="方正仿宋简体" w:cs="Times New Roman"/>
          <w:b/>
          <w:bCs/>
          <w:sz w:val="32"/>
          <w:szCs w:val="32"/>
        </w:rPr>
        <w:t>她将思政工作与职业生涯教育有机融合，用心推动职业生涯规划课程建设。</w:t>
      </w:r>
      <w:r>
        <w:rPr>
          <w:rFonts w:ascii="Times New Roman" w:hAnsi="Times New Roman" w:eastAsia="方正仿宋简体" w:cs="Times New Roman"/>
          <w:sz w:val="32"/>
          <w:szCs w:val="32"/>
        </w:rPr>
        <w:t>作为学校就业教育服务工作骨干，编写职业生涯规划课程示范课件和就业指导服务工作案例；主持《基础学科大学生职业生涯规划课体系建构》等思政类和就业类课题20余项，并在《中国大学生就业》</w:t>
      </w:r>
      <w:bookmarkEnd w:id="2"/>
      <w:r>
        <w:rPr>
          <w:rFonts w:ascii="Times New Roman" w:hAnsi="Times New Roman" w:eastAsia="方正仿宋简体" w:cs="Times New Roman"/>
          <w:sz w:val="32"/>
          <w:szCs w:val="32"/>
        </w:rPr>
        <w:t>《思想教育研究》等学术期刊上发表20余篇论文，主编和参编6本思政专著，获评广东省高校学生工作红棉奖等20多项省级以上荣誉。</w:t>
      </w:r>
    </w:p>
    <w:p w14:paraId="606ACDC0">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二、全方位全覆盖 树立基层就业之志</w:t>
      </w:r>
    </w:p>
    <w:p w14:paraId="7C642F70">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王燕芳老师将思想政治教育与学生职业发展需求相融合，</w:t>
      </w:r>
      <w:r>
        <w:rPr>
          <w:rFonts w:ascii="Times New Roman" w:hAnsi="Times New Roman" w:eastAsia="方正仿宋简体" w:cs="Times New Roman"/>
          <w:b/>
          <w:bCs/>
          <w:sz w:val="32"/>
          <w:szCs w:val="32"/>
        </w:rPr>
        <w:t>全方位、全覆盖、分年级开展“学业认知—自我认知—职业认知—就业指导”四级循序渐进的生涯规划系列活动。</w:t>
      </w:r>
      <w:r>
        <w:rPr>
          <w:rFonts w:ascii="Times New Roman" w:hAnsi="Times New Roman" w:eastAsia="方正仿宋简体" w:cs="Times New Roman"/>
          <w:sz w:val="32"/>
          <w:szCs w:val="32"/>
        </w:rPr>
        <w:t>面向新生，开设“教学名师讲座</w:t>
      </w:r>
      <w:r>
        <w:rPr>
          <w:rFonts w:hint="eastAsia" w:ascii="Times New Roman" w:hAnsi="Times New Roman" w:eastAsia="方正仿宋简体" w:cs="Times New Roman"/>
          <w:sz w:val="32"/>
          <w:szCs w:val="32"/>
          <w:lang w:eastAsia="zh-CN"/>
        </w:rPr>
        <w:t>”“</w:t>
      </w:r>
      <w:r>
        <w:rPr>
          <w:rFonts w:ascii="Times New Roman" w:hAnsi="Times New Roman" w:eastAsia="方正仿宋简体" w:cs="Times New Roman"/>
          <w:sz w:val="32"/>
          <w:szCs w:val="32"/>
        </w:rPr>
        <w:t>学长经验说”、校友论坛等讲座，帮助学生提升专业认同感；面向中高年级学生，开设“职点迷津·研传身教”升学就业经验分享，邀请基层就业的校友进行择业就业经验分享，帮助学生及早确定职业生涯规划；带领学生走进基层就业单位，开展职场实境体验活动；同时，指导学生参加大学生职业生涯规划大赛，在实战中不断完善职业生涯规划。</w:t>
      </w:r>
    </w:p>
    <w:p w14:paraId="2A7CE316">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她组织开展的</w:t>
      </w:r>
      <w:r>
        <w:rPr>
          <w:rFonts w:ascii="Times New Roman" w:hAnsi="Times New Roman" w:eastAsia="方正仿宋简体" w:cs="Times New Roman"/>
          <w:b/>
          <w:bCs/>
          <w:sz w:val="32"/>
          <w:szCs w:val="32"/>
        </w:rPr>
        <w:t>“健康卫士在行动”“社区健康科普小课堂”</w:t>
      </w:r>
      <w:r>
        <w:rPr>
          <w:rFonts w:ascii="Times New Roman" w:hAnsi="Times New Roman" w:eastAsia="方正仿宋简体" w:cs="Times New Roman"/>
          <w:sz w:val="32"/>
          <w:szCs w:val="32"/>
        </w:rPr>
        <w:t>等实践活动，</w:t>
      </w:r>
      <w:r>
        <w:rPr>
          <w:rFonts w:ascii="Times New Roman" w:hAnsi="Times New Roman" w:eastAsia="方正仿宋简体" w:cs="Times New Roman"/>
          <w:b/>
          <w:bCs/>
          <w:sz w:val="32"/>
          <w:szCs w:val="32"/>
        </w:rPr>
        <w:t>将职业生涯教育延伸到基层一线，在实践中坚定学生基层就业的职业理想。</w:t>
      </w:r>
      <w:r>
        <w:rPr>
          <w:rFonts w:ascii="Times New Roman" w:hAnsi="Times New Roman" w:eastAsia="方正仿宋简体" w:cs="Times New Roman"/>
          <w:sz w:val="32"/>
          <w:szCs w:val="32"/>
        </w:rPr>
        <w:t>疫情期间，组织38批次886人次到广州各级疾控中心开展志愿服务，完成12.65万人次流调和信息分析，助力广州疫情防控。通过官微官网推送和编印基层就业毕业生事迹、校友讲座、就业经验分享等广泛宣传基层就业的典型个人，引导学生向优秀毕业生学习。在她的教育引导下，1500多名毕业生选择参军、赴西部就业和服务基层，成为促进基层发展、助力乡村振兴的重要力量。</w:t>
      </w:r>
    </w:p>
    <w:p w14:paraId="14207F2A">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三、多渠道全过程 强化基层就业之能</w:t>
      </w:r>
    </w:p>
    <w:p w14:paraId="3DBB1C44">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通过行业需求分析和毕业生就业追踪调查，王燕芳老师与分管教学的副院长一起凝练出</w:t>
      </w:r>
      <w:r>
        <w:rPr>
          <w:rFonts w:ascii="Times New Roman" w:hAnsi="Times New Roman" w:eastAsia="方正仿宋简体" w:cs="Times New Roman"/>
          <w:b/>
          <w:bCs/>
          <w:sz w:val="32"/>
          <w:szCs w:val="32"/>
        </w:rPr>
        <w:t>哲学系学生5种核心竞争力和公卫毕业生的7种岗位胜任力</w:t>
      </w:r>
      <w:r>
        <w:rPr>
          <w:rFonts w:ascii="Times New Roman" w:hAnsi="Times New Roman" w:eastAsia="方正仿宋简体" w:cs="Times New Roman"/>
          <w:sz w:val="32"/>
          <w:szCs w:val="32"/>
        </w:rPr>
        <w:t>，她联动第一课堂与第二课堂增强学生的专业能力，联合7家高水平公共卫生学院线上线下举办“职点迷津·研传身教”就业指导活动，受惠学生达12649人次。她还每年组织收集和整理往届毕业生的求职求学心得，编印《我的大学求学/求职之路》，指引在校生早规划、早准备，实现高质量就业。</w:t>
      </w:r>
    </w:p>
    <w:p w14:paraId="4E382469">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四、整资源促合作 拓宽基层就业之径</w:t>
      </w:r>
    </w:p>
    <w:p w14:paraId="5AD9A377">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整合师资和校友资源、教学实习和社会实践基地资源，</w:t>
      </w:r>
      <w:r>
        <w:rPr>
          <w:rFonts w:ascii="Times New Roman" w:hAnsi="Times New Roman" w:eastAsia="方正仿宋简体" w:cs="Times New Roman"/>
          <w:sz w:val="32"/>
          <w:szCs w:val="32"/>
        </w:rPr>
        <w:t>王燕芳老师身体力行为学生拓展实习和就业岗位。仅2023年，她到校友企业、社区公共卫生服务中心等20余家用人单位开展岗位拓展洽谈及就业招聘推介，到从化、东莞、江门等地建立6个社会实践基地和27个实习基地，拓展就业岗位101个。</w:t>
      </w:r>
    </w:p>
    <w:p w14:paraId="6A60E578">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五、善引导重服务 赋能基层就业之愿</w:t>
      </w:r>
    </w:p>
    <w:p w14:paraId="2250133F">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王燕芳老师每年组织编印《毕业生就业工作办事指引》，制作简明的图表和指引，帮助学生更清晰准确地办理相关的就业手续。她关心每一个毕业生的成长需求和就业状况，</w:t>
      </w:r>
      <w:r>
        <w:rPr>
          <w:rFonts w:ascii="Times New Roman" w:hAnsi="Times New Roman" w:eastAsia="方正仿宋简体" w:cs="Times New Roman"/>
          <w:b/>
          <w:bCs/>
          <w:sz w:val="32"/>
          <w:szCs w:val="32"/>
        </w:rPr>
        <w:t>全年无休为学生提供细致专业的就业管理服务，</w:t>
      </w:r>
      <w:r>
        <w:rPr>
          <w:rFonts w:ascii="Times New Roman" w:hAnsi="Times New Roman" w:eastAsia="方正仿宋简体" w:cs="Times New Roman"/>
          <w:sz w:val="32"/>
          <w:szCs w:val="32"/>
        </w:rPr>
        <w:t>与毕业生进行一对一的就业面谈，引导学生到基层就业、到祖国需要的地方建功立业。</w:t>
      </w:r>
    </w:p>
    <w:p w14:paraId="74FF2BE1">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结语</w:t>
      </w:r>
    </w:p>
    <w:p w14:paraId="2D7BCAD2">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她很感恩学生工作让她见证和参与大学生的成长。“赠人玫瑰，手留余香”，她25年如一日，用心用情投入就业教育服务工作中，引导和助力一届届的学生到祖国需要的地方建功立业。</w:t>
      </w:r>
    </w:p>
    <w:p w14:paraId="70D2A9B9">
      <w:pPr>
        <w:pageBreakBefore w:val="0"/>
        <w:kinsoku/>
        <w:wordWrap/>
        <w:overflowPunct/>
        <w:topLinePunct w:val="0"/>
        <w:autoSpaceDE/>
        <w:autoSpaceDN/>
        <w:bidi w:val="0"/>
        <w:adjustRightInd/>
        <w:snapToGrid/>
        <w:spacing w:after="0" w:line="560" w:lineRule="exact"/>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br w:type="page"/>
      </w:r>
    </w:p>
    <w:p w14:paraId="3C3AA671">
      <w:pPr>
        <w:pStyle w:val="2"/>
        <w:pageBreakBefore w:val="0"/>
        <w:kinsoku/>
        <w:wordWrap/>
        <w:overflowPunct/>
        <w:topLinePunct w:val="0"/>
        <w:autoSpaceDE/>
        <w:autoSpaceDN/>
        <w:bidi w:val="0"/>
        <w:adjustRightInd/>
        <w:snapToGrid/>
        <w:spacing w:before="0" w:after="0" w:line="560" w:lineRule="exact"/>
        <w:textAlignment w:val="auto"/>
        <w:rPr>
          <w:rFonts w:hint="eastAsia" w:eastAsia="黑体"/>
          <w:lang w:eastAsia="zh-CN"/>
        </w:rPr>
      </w:pPr>
      <w:bookmarkStart w:id="4" w:name="_Toc29476"/>
      <w:r>
        <w:rPr>
          <w:rFonts w:hint="eastAsia"/>
        </w:rPr>
        <w:t>毕业生案例一</w:t>
      </w:r>
      <w:r>
        <w:rPr>
          <w:rFonts w:hint="eastAsia"/>
          <w:lang w:eastAsia="zh-CN"/>
        </w:rPr>
        <w:t>（</w:t>
      </w:r>
      <w:r>
        <w:rPr>
          <w:rFonts w:hint="eastAsia"/>
          <w:lang w:val="en-US" w:eastAsia="zh-CN"/>
        </w:rPr>
        <w:t>选调生</w:t>
      </w:r>
      <w:r>
        <w:rPr>
          <w:rFonts w:hint="eastAsia"/>
          <w:lang w:eastAsia="zh-CN"/>
        </w:rPr>
        <w:t>）</w:t>
      </w:r>
      <w:bookmarkEnd w:id="4"/>
    </w:p>
    <w:p w14:paraId="3110147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郑坤拾，女，土家族，中共党员，本硕均就读于</w:t>
      </w:r>
      <w:r>
        <w:rPr>
          <w:rFonts w:ascii="Times New Roman" w:hAnsi="Times New Roman" w:eastAsia="方正仿宋简体" w:cs="Times New Roman"/>
          <w:b/>
          <w:bCs/>
          <w:sz w:val="32"/>
          <w:szCs w:val="32"/>
        </w:rPr>
        <w:t>西安交通大学</w:t>
      </w:r>
      <w:r>
        <w:rPr>
          <w:rFonts w:ascii="Times New Roman" w:hAnsi="Times New Roman" w:eastAsia="方正仿宋简体" w:cs="Times New Roman"/>
          <w:sz w:val="32"/>
          <w:szCs w:val="32"/>
        </w:rPr>
        <w:t xml:space="preserve">。在校期间曾获“硕士研究生国家奖学金”“优秀共产党员”“优秀毕业生”等多项荣誉。2014年7月研究生毕业后，她毅然决定成为西部大开发的一名新兵，以优良成绩通过重庆市选调生考试，并入职集西部地区、三峡库区、贫困地区于一体的重庆市万州区乡镇政府，从事基层工作。先后从事脱贫攻坚、基层党建等工作，主抓的工作得到人民网和《光明日报》《人民政协报》《重庆日报》等主流媒体关注报道，个人被万州区委区政府表彰为“全区脱贫攻坚成绩显著个人”“全区脱贫攻坚工作先进个人”。 </w:t>
      </w:r>
      <w:r>
        <w:rPr>
          <w:rFonts w:ascii="Times New Roman" w:hAnsi="Times New Roman" w:eastAsia="方正仿宋简体" w:cs="Times New Roman"/>
          <w:b/>
          <w:bCs/>
          <w:sz w:val="32"/>
          <w:szCs w:val="32"/>
        </w:rPr>
        <w:t>现任重庆市万州区太龙镇党委委员、组织委员、人大副主席。</w:t>
      </w:r>
    </w:p>
    <w:p w14:paraId="50EEFEA3">
      <w:pPr>
        <w:pageBreakBefore w:val="0"/>
        <w:kinsoku/>
        <w:wordWrap/>
        <w:overflowPunct/>
        <w:topLinePunct w:val="0"/>
        <w:autoSpaceDE/>
        <w:autoSpaceDN/>
        <w:bidi w:val="0"/>
        <w:adjustRightInd/>
        <w:snapToGrid/>
        <w:spacing w:after="0" w:line="560" w:lineRule="exact"/>
        <w:jc w:val="center"/>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个人事迹</w:t>
      </w:r>
    </w:p>
    <w:p w14:paraId="7BAB9D63">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一、到西部去，把知识和青春奉献给人民</w:t>
      </w:r>
    </w:p>
    <w:p w14:paraId="01C1C792">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本科期间，她利用假期走遍了陕西、甘肃和新疆的山山水水，领略了那里空旷的原野、无尽的边陲风光，也感受了那里的人民日益增长的美好生活需要和不平衡不充分的发展之间的矛盾。</w:t>
      </w:r>
    </w:p>
    <w:p w14:paraId="0211CF09">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读研期间，她一边完成学业，一边思考人生。西部人民渴望过上美好生活的愿景，西迁精神对莘莘学子意志品质的考量，时时刻刻撞击着她的心灵。她毅然决定毕业后回到西部，奉献库区，扎根基层，将自己所学所思所悟的先进理念服务人民，厚植那片热土，把青春奉献到西部大开发的奋进路上。</w:t>
      </w:r>
    </w:p>
    <w:p w14:paraId="00403915">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二、扎根西部，从点点滴滴的小事做起</w:t>
      </w:r>
    </w:p>
    <w:p w14:paraId="3ADA9691">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2014年7月，万州区委组织部把她分配到天城镇工作。镇党委安排她从事党员教育管理。在这个岗位上，她总结梳理了《农村无职党员九项职责》，使天城镇“无职党员轮执参事”的党建品牌，在万州区得到全面推广。</w:t>
      </w:r>
    </w:p>
    <w:p w14:paraId="6ECF16E0">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2015年7月，全国吹响了打赢脱贫攻坚战的号角。她被抽调到万州区脱贫攻坚领导小组办公室，承担文件起草和宣传报道工作。从小在城里长大、对农业农村工作毫无经验、专业不对口的她，感到了任务的压力，只能拼命学习充电，力争用最短的时间成为行家里手。期间，她完成了《重庆市万州区关于打赢打好脱贫攻坚战三年行动的实施方案》等20余份重要文件的起草，主导了6项贫困领域的专题调研，编印了240期《扶贫攻坚动态》，完善了万州区脱贫攻坚的时间表、路线图等规划，编撰了万州区脱贫攻坚的大事记，记录了万州区委、区政府如何开展脱贫攻坚、如何帮助贫困户摆脱贫困，如何全面打赢攻坚战的全景图。</w:t>
      </w:r>
    </w:p>
    <w:p w14:paraId="19AD7475">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2019年5月，她担任万州区扶贫开发办公室信息科科长，负责宣传报道、建档立卡信息管理等工作。为了记录扶贫一线典型人物的事迹，她爬过山、下过沟。她撰写的万州区如何精准发力解决“两不愁三保障”的做法，《人民政协报》作了深度报道；她撰写的万州区实行“三师入户”“国企进村”活动的成效，《重庆日报》作了分析推介；她撰写的万州区致力“三大模式”壮大扶贫产业、把好“五个度”确保资金项目精准安全高效等工作经验，被多期《重庆扶贫专报》系统报道。她为了把建档立卡信息管理的本职工作做得更加精准，通过调研和梳理，和扶贫办领导一起创新制定了简明实用的“六不纳七纳”识别标准和“一筛选、二研判、三走访、四审核”识别流程，并在2019年度全国扶贫对象动态管理工作培训班上向全国扶贫系统作了展示分享。被万州区委、区政府表彰为“全区脱贫攻坚成绩显著个人”“全区脱贫攻坚工作先进个人”。</w:t>
      </w:r>
    </w:p>
    <w:p w14:paraId="2E596154">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2021年10月，万州区乡镇领导干部换届，她被提拔到太龙镇担任党委委员、组织委员、人大副主席。她感恩着组织的栽培和信任，潜心钻研新工作新业务，将农村党建工作开展得有声有色。她在全镇打造了理论、初心、实践、共享“四个课堂”，丰富了农村党员参加组织生活的内容和载体；她积极联系行业部门、企业党支部与村党支部结对共建，促成18个“城乡支部手拉手”对子开展共建；她结合太龙镇留守妇女多、盛产红桔的实际，探索创建了“巾帼五娘”“红桔三队”等党建品牌，为乡村善治搭建了平台；她牵头实施了头雁领航、归雁返航、群雁随航行动，为乡村振兴大力培育领路人、塑造开路人、汇聚同路人，助力9人成为种养殖大户，近30名农村工匠取得职业技能岗位证书，40余村民变身电商达人。《重庆乡村振兴专报》以《人才先行促发展，雁阵齐飞助振兴》为题，登载了太龙镇人才振兴工作纪实并上报国家乡村振兴局，《光明日报》等媒体报道了太龙镇乡村人才建设的做法。</w:t>
      </w:r>
    </w:p>
    <w:p w14:paraId="35F7AF87">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
          <w:bCs/>
          <w:sz w:val="32"/>
          <w:szCs w:val="32"/>
        </w:rPr>
        <w:t>三、深耕西部，做无悔的追梦人</w:t>
      </w:r>
    </w:p>
    <w:p w14:paraId="7A15A9FA">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在基层工作的这些年，支撑她不断攻坚克难、奋进求索的精神食粮，就是交大的校训和西迁精神。她说：“奋斗的路上，只有起点，没有终点；只有进行时，没有完成时！”她始终秉持着交大校训，扎扎实实地为老百姓做实事，兢兢业业为党工作。</w:t>
      </w:r>
    </w:p>
    <w:p w14:paraId="2C26D727">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青年有为，奋斗无悔。她用实际行动践行着西迁精神，在西部的热土上，埋头笃行，默默耕耘，把论文写在西部基层大地，做一个真正无悔的追梦人。</w:t>
      </w:r>
    </w:p>
    <w:p w14:paraId="6918CC68">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p>
    <w:p w14:paraId="7766986E">
      <w:pPr>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hint="eastAsia" w:ascii="仿宋_GB2312" w:eastAsia="仿宋_GB2312"/>
          <w:sz w:val="32"/>
          <w:szCs w:val="32"/>
        </w:rPr>
        <w:br w:type="page"/>
      </w:r>
    </w:p>
    <w:p w14:paraId="6410971B">
      <w:pPr>
        <w:pStyle w:val="2"/>
        <w:pageBreakBefore w:val="0"/>
        <w:kinsoku/>
        <w:wordWrap/>
        <w:overflowPunct/>
        <w:topLinePunct w:val="0"/>
        <w:autoSpaceDE/>
        <w:autoSpaceDN/>
        <w:bidi w:val="0"/>
        <w:adjustRightInd/>
        <w:snapToGrid/>
        <w:spacing w:before="0" w:after="0" w:line="560" w:lineRule="exact"/>
        <w:textAlignment w:val="auto"/>
        <w:rPr>
          <w:rFonts w:hint="eastAsia"/>
        </w:rPr>
      </w:pPr>
      <w:bookmarkStart w:id="5" w:name="_Toc29585"/>
      <w:r>
        <w:rPr>
          <w:rFonts w:hint="eastAsia"/>
        </w:rPr>
        <w:t>毕业生案例</w:t>
      </w:r>
      <w:r>
        <w:rPr>
          <w:rFonts w:hint="eastAsia"/>
          <w:lang w:val="en-US" w:eastAsia="zh-CN"/>
        </w:rPr>
        <w:t>二</w:t>
      </w:r>
      <w:r>
        <w:rPr>
          <w:rFonts w:hint="eastAsia"/>
          <w:lang w:eastAsia="zh-CN"/>
        </w:rPr>
        <w:t>（县级及以下党政机关）</w:t>
      </w:r>
      <w:bookmarkEnd w:id="5"/>
    </w:p>
    <w:p w14:paraId="3E6489B5">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梁法森，男，中共党员，</w:t>
      </w:r>
      <w:r>
        <w:rPr>
          <w:rFonts w:ascii="Times New Roman" w:hAnsi="Times New Roman" w:eastAsia="方正仿宋简体" w:cs="Times New Roman"/>
          <w:sz w:val="32"/>
          <w:szCs w:val="32"/>
        </w:rPr>
        <w:t>2017年6月毕业于</w:t>
      </w:r>
      <w:r>
        <w:rPr>
          <w:rFonts w:ascii="Times New Roman" w:hAnsi="Times New Roman" w:eastAsia="方正仿宋简体" w:cs="Times New Roman"/>
          <w:b/>
          <w:bCs/>
          <w:sz w:val="32"/>
          <w:szCs w:val="32"/>
        </w:rPr>
        <w:t>东北石油大学</w:t>
      </w:r>
      <w:r>
        <w:rPr>
          <w:rFonts w:ascii="Times New Roman" w:hAnsi="Times New Roman" w:eastAsia="方正仿宋简体" w:cs="Times New Roman"/>
          <w:sz w:val="32"/>
          <w:szCs w:val="32"/>
        </w:rPr>
        <w:t>勘查技术与工程专业，2017年9月通过公务员考试考录到海林市国土资源局参加工作，同年11月派驻海林市三道河子镇工农村任驻村扶贫工作队队员，2021年9月任海林市三道河子镇党委委员、组织委员，2024年11月至今任</w:t>
      </w:r>
      <w:r>
        <w:rPr>
          <w:rFonts w:ascii="Times New Roman" w:hAnsi="Times New Roman" w:eastAsia="方正仿宋简体" w:cs="Times New Roman"/>
          <w:b/>
          <w:bCs/>
          <w:i w:val="0"/>
          <w:iCs w:val="0"/>
          <w:sz w:val="32"/>
          <w:szCs w:val="32"/>
        </w:rPr>
        <w:t>海林市三道河子镇党委副书记</w:t>
      </w:r>
      <w:r>
        <w:rPr>
          <w:rFonts w:ascii="Times New Roman" w:hAnsi="Times New Roman" w:eastAsia="方正仿宋简体" w:cs="Times New Roman"/>
          <w:sz w:val="32"/>
          <w:szCs w:val="32"/>
        </w:rPr>
        <w:t>。先后获得过“黑龙江省带头致富好青年”称号、“全省优秀共青团干部—驻村团干部专项”荣誉，全省脱贫攻坚贡献奖，“牡丹江市优秀共产党员”等荣誉。</w:t>
      </w:r>
    </w:p>
    <w:p w14:paraId="7084A030">
      <w:pPr>
        <w:pageBreakBefore w:val="0"/>
        <w:kinsoku/>
        <w:wordWrap/>
        <w:overflowPunct/>
        <w:topLinePunct w:val="0"/>
        <w:autoSpaceDE/>
        <w:autoSpaceDN/>
        <w:bidi w:val="0"/>
        <w:adjustRightInd/>
        <w:snapToGrid/>
        <w:spacing w:after="0" w:line="560" w:lineRule="exact"/>
        <w:jc w:val="center"/>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个人事迹</w:t>
      </w:r>
    </w:p>
    <w:p w14:paraId="294B274C">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一、</w:t>
      </w:r>
      <w:r>
        <w:rPr>
          <w:rFonts w:hint="eastAsia" w:ascii="Times New Roman" w:hAnsi="Times New Roman" w:eastAsia="方正仿宋简体" w:cs="Times New Roman"/>
          <w:b/>
          <w:bCs/>
          <w:sz w:val="32"/>
          <w:szCs w:val="32"/>
        </w:rPr>
        <w:t>转变角色，服务基层</w:t>
      </w:r>
    </w:p>
    <w:p w14:paraId="44016176">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2013年，梁法森怀揣着对未来的憧憬踏入东北石油大学地球科学学院，在知识的沃土里潜心耕耘，专业课堂上的全神贯注、学术研讨中的热烈交流、野外地质实习的辛勤汗水，都铸就了他扎实的学识根基与锐意进取的精神风貌。2017年毕业的梁法森秉承着“爱国、创业、求实、奉献”的大庆精神，毅然背上行囊，投身脱贫攻坚与乡村振兴的滚滚浪潮，开启了别样的征程。</w:t>
      </w:r>
    </w:p>
    <w:p w14:paraId="40259601">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初到海林市三道河子镇工农村，面对贫困现状与复杂村情，他毫无惧色。挨家走访调研，田间地头留下他忙碌身影，与乡亲们唠家常、摸情况，精准识别贫困根源，为帮扶策略制定夯实基础；产业扶贫中，他四处奔走牵线，引入适宜农作物品种，助力打造特色种植产业链，让土地生出“金疙瘩”，村民钱包渐鼓；文化建设时，他组织文艺下乡、书屋焕新，为乡村注入精神活力，重塑乡村文明新貌。</w:t>
      </w:r>
    </w:p>
    <w:p w14:paraId="33B31A13">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hint="eastAsia" w:ascii="Times New Roman" w:hAnsi="Times New Roman" w:eastAsia="方正仿宋简体" w:cs="Times New Roman"/>
          <w:b/>
          <w:bCs/>
          <w:sz w:val="32"/>
          <w:szCs w:val="32"/>
        </w:rPr>
        <w:t>二</w:t>
      </w:r>
      <w:r>
        <w:rPr>
          <w:rFonts w:ascii="Times New Roman" w:hAnsi="Times New Roman" w:eastAsia="方正仿宋简体" w:cs="Times New Roman"/>
          <w:b/>
          <w:bCs/>
          <w:sz w:val="32"/>
          <w:szCs w:val="32"/>
        </w:rPr>
        <w:t>、</w:t>
      </w:r>
      <w:r>
        <w:rPr>
          <w:rFonts w:hint="eastAsia" w:ascii="Times New Roman" w:hAnsi="Times New Roman" w:eastAsia="方正仿宋简体" w:cs="Times New Roman"/>
          <w:b/>
          <w:bCs/>
          <w:sz w:val="32"/>
          <w:szCs w:val="32"/>
        </w:rPr>
        <w:t>卓越成就，载誉而归</w:t>
      </w:r>
    </w:p>
    <w:p w14:paraId="453A9EBD">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数载春秋，寒来暑往，梁法森的付出结出累累硕果。村子旧貌换新颜，泥泞土路化作平坦大道，破败村舍变身宜居新居，乡亲们脱贫致富、笑靥如花。</w:t>
      </w:r>
    </w:p>
    <w:p w14:paraId="00DB0CD1">
      <w:pPr>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梁法森带头谋划了“产业</w:t>
      </w:r>
      <w:r>
        <w:rPr>
          <w:rFonts w:ascii="Times New Roman" w:hAnsi="Times New Roman" w:eastAsia="方正仿宋简体" w:cs="Times New Roman"/>
          <w:sz w:val="32"/>
          <w:szCs w:val="32"/>
        </w:rPr>
        <w:t>+就业”脱贫举措，利用气温低、水质优的资源优势，发展冷水鱼养殖合作社，争取5.7万元企业捐款支撑起养鱼启动资金，天不亮就参与捕捞、打氧、销售环节。2018年以来，工农村15户贫困户社员年分红1000元以上。借助比邻荒沟电站的地域优势，促成与企业签订用工协议，输送76名村民到电站务工，实现全村每年就业增收170多万元。2020年，工农村省级贫困村摘帽，2021年，梁法森策划的“俺们村的幸福年”视频在黑龙江《新闻联播》节目播出，将新的工农村展现在全省观众面前。梁法森也因此获得省扶贫开发领导小组授予的2020年度全省“脱贫攻坚贡献奖”。</w:t>
      </w:r>
    </w:p>
    <w:p w14:paraId="156A2CDF">
      <w:pPr>
        <w:rPr>
          <w:rFonts w:ascii="Times New Roman" w:hAnsi="Times New Roman" w:eastAsia="方正仿宋简体" w:cs="Times New Roman"/>
          <w:sz w:val="32"/>
          <w:szCs w:val="32"/>
        </w:rPr>
      </w:pPr>
      <w:r>
        <w:rPr>
          <w:rFonts w:ascii="Times New Roman" w:hAnsi="Times New Roman" w:eastAsia="方正仿宋简体" w:cs="Times New Roman"/>
          <w:sz w:val="32"/>
          <w:szCs w:val="32"/>
        </w:rPr>
        <w:br w:type="page"/>
      </w:r>
    </w:p>
    <w:p w14:paraId="2A4A191F">
      <w:pPr>
        <w:pStyle w:val="2"/>
        <w:pageBreakBefore w:val="0"/>
        <w:kinsoku/>
        <w:wordWrap/>
        <w:overflowPunct/>
        <w:topLinePunct w:val="0"/>
        <w:autoSpaceDE/>
        <w:autoSpaceDN/>
        <w:bidi w:val="0"/>
        <w:adjustRightInd/>
        <w:snapToGrid/>
        <w:spacing w:before="0" w:after="0" w:line="560" w:lineRule="exact"/>
        <w:jc w:val="center"/>
        <w:textAlignment w:val="auto"/>
        <w:rPr>
          <w:rFonts w:hint="eastAsia"/>
          <w:lang w:eastAsia="zh-CN"/>
        </w:rPr>
      </w:pPr>
      <w:bookmarkStart w:id="6" w:name="_Toc25097"/>
      <w:r>
        <w:rPr>
          <w:rFonts w:hint="eastAsia"/>
        </w:rPr>
        <w:t>毕业生案例</w:t>
      </w:r>
      <w:r>
        <w:rPr>
          <w:rFonts w:hint="eastAsia"/>
          <w:lang w:val="en-US" w:eastAsia="zh-CN"/>
        </w:rPr>
        <w:t>三</w:t>
      </w:r>
      <w:r>
        <w:rPr>
          <w:rFonts w:hint="eastAsia"/>
          <w:lang w:eastAsia="zh-CN"/>
        </w:rPr>
        <w:t>（县级及以下</w:t>
      </w:r>
      <w:r>
        <w:rPr>
          <w:rFonts w:hint="eastAsia"/>
          <w:lang w:val="en-US" w:eastAsia="zh-CN"/>
        </w:rPr>
        <w:t>企业单位</w:t>
      </w:r>
      <w:r>
        <w:rPr>
          <w:rFonts w:hint="eastAsia"/>
          <w:lang w:eastAsia="zh-CN"/>
        </w:rPr>
        <w:t>）</w:t>
      </w:r>
      <w:bookmarkEnd w:id="6"/>
    </w:p>
    <w:p w14:paraId="0CB067DD">
      <w:pPr>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白登文，男，中共党员，2016年6月硕士毕业于长江大学石油工程学院油气井工程专业，长期在一线加油站工作，曾担任</w:t>
      </w:r>
      <w:r>
        <w:rPr>
          <w:rFonts w:hint="default" w:ascii="Times New Roman" w:hAnsi="Times New Roman" w:eastAsia="方正仿宋简体" w:cs="Times New Roman"/>
          <w:b/>
          <w:bCs/>
          <w:sz w:val="32"/>
          <w:szCs w:val="32"/>
          <w:lang w:val="en-US" w:eastAsia="zh-CN"/>
        </w:rPr>
        <w:t>中海油销售湖北有限公司阳光加油站站长</w:t>
      </w:r>
      <w:r>
        <w:rPr>
          <w:rFonts w:hint="eastAsia" w:ascii="Times New Roman" w:hAnsi="Times New Roman" w:eastAsia="方正仿宋简体" w:cs="Times New Roman"/>
          <w:sz w:val="32"/>
          <w:szCs w:val="32"/>
          <w:lang w:val="en-US" w:eastAsia="zh-CN"/>
        </w:rPr>
        <w:t>，现任</w:t>
      </w:r>
      <w:r>
        <w:rPr>
          <w:rFonts w:hint="eastAsia" w:ascii="Times New Roman" w:hAnsi="Times New Roman" w:eastAsia="方正仿宋简体" w:cs="Times New Roman"/>
          <w:b/>
          <w:bCs/>
          <w:sz w:val="32"/>
          <w:szCs w:val="32"/>
          <w:lang w:val="en-US" w:eastAsia="zh-CN"/>
        </w:rPr>
        <w:t>中海油销售湖北有限公司零售管理部经理</w:t>
      </w:r>
      <w:r>
        <w:rPr>
          <w:rFonts w:hint="eastAsia" w:ascii="Times New Roman" w:hAnsi="Times New Roman" w:eastAsia="方正仿宋简体" w:cs="Times New Roman"/>
          <w:sz w:val="32"/>
          <w:szCs w:val="32"/>
          <w:lang w:val="en-US" w:eastAsia="zh-CN"/>
        </w:rPr>
        <w:t>。</w:t>
      </w:r>
    </w:p>
    <w:p w14:paraId="6AD73F8C">
      <w:pPr>
        <w:pageBreakBefore w:val="0"/>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一、从基层加油员到经营能手</w:t>
      </w:r>
    </w:p>
    <w:p w14:paraId="6A4EB16D">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平日里，他总是沉默寡言，然而一旦谈及工作，他便仿佛打开了话匣子。白登文至今还记得在武汉阳光加油站实习加油员时的情景。在酷热难耐的夏日，汗水湿透衣衫；在寒风刺骨的冬季，加油操作也丝毫马虎不得。实习期满后，白登文迎来了职业生涯中的第一次挑战——任职咸宁市绿山加油站经理。此站位置偏远，车流量稀少，日均油品销量不足3吨，深陷经营困境。白登文积极探寻破局之法。他首先将目光投向附近的工地，在与工地的供油谈判因价格劣势而受挫时，他迅速调整策略，即刻与湖北公司沟通，全力争取优惠政策。后来凭借敏锐的观察力，发现高速出口货车众多且司机常需休息，于是萌生了设立货车司机休息室的创意。经过不懈努力，他成功整合资源、拓宽销售渠道，并最终获得了公司的优惠政策，助力加油站销量翻倍。</w:t>
      </w:r>
    </w:p>
    <w:p w14:paraId="6F8962C3">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同年5月，公司调动白登文前往鄂州市江碧加油站任职。他精心策划了一套区域联合方案，涵盖联合销售、宣传与对外关系拓展，并在会员日活动中融入个性化设计。此举成效显著，江碧站会员日销量从10吨飙升至45吨，周边站点亦受益匪浅，品牌影响力大幅提升，也赢得了顾客的信赖。回首往昔，他满怀感慨地说：“中国海油于我而言，是温暖的港湾、是施展才华的广阔舞台。”</w:t>
      </w:r>
    </w:p>
    <w:p w14:paraId="2FFA693E">
      <w:pPr>
        <w:pageBreakBefore w:val="0"/>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二、抗疫战线的“逆行者”</w:t>
      </w:r>
    </w:p>
    <w:p w14:paraId="732F373B">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2020年1月23日是农历腊月二十九，清晨7点，加油站外已经排起了长队，司机们都着急加油。此时加油站的部分外地员工已经返乡，包括白登文在内的10人原本也准备回家过年。但上级要求确保油品不断供，员工们困惑不解，一位孩子尚小的员工向白登文哭诉，白登文以一贯的沉稳和耐心安抚大家：</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百姓需要我们，不能一走了之。</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就这样，本该在新年期间穿上帅气新郎装的白登文，却穿着工服和防护服，坚守在阳光加油站，给过往的车辆加油。身为站长兼党员的他，平日里所培育的“责任心文化”在此刻成为大家的定海神针。他始终强调销售要“盯紧、关心、跟踪”，要求员工做事追求卓越，团队协作解决问题。他奔波于周边数十家药店，抢购口罩、消毒液等防护物资，为员工筑起第一道防线。平日里不擅厨艺的他，为保障员工饮食，对照菜谱、借助APP学习烹饪，油炸花生米成了他的拿手菜，赢得了伙伴们的称赞。在抗疫初期，中国海油紧急筹建口罩厂，阳光加油站也积极参与社会供应，为抗击疫情贡献自己的力量。有人问他当时怕不怕？白登文微笑着说：“其实心里也害怕，但我是站长，更是党员，我必须坚守在这里。”</w:t>
      </w:r>
    </w:p>
    <w:p w14:paraId="7FBB747E">
      <w:pPr>
        <w:pageBreakBefore w:val="0"/>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三、从抗疫英雄到行业领航者</w:t>
      </w:r>
    </w:p>
    <w:p w14:paraId="1C350A14">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2020年9月8日，白登文作为“全国抗击新冠疫情先进个人”和“全国优秀共产党员”在人民大会堂接受表彰，成为全国唯一一名被同时授予这两项称号的加油站站长。从默默无闻到万众瞩目，面对闪光灯和无数关注的目光，他却总是谦逊地说，自己只是做了应该做的。在他看来，当初选择坚守、选择奋不顾身，只是责任驱使，当国家需要公司需要时，自己一定要在！从北京领奖归来，他迅速回归岗位，投身工作。在疫情后的复工复产阶段，他积极谋划，带领阳光加油站员工深挖市场潜力，拓展客户资源。通过不懈努力，2020年阳光加油站成功达成万吨站目标，在湖北 51 座加油站中油品销量独占鳌头。面对大家的赞叹，白登文依然那么质朴而坚毅：“党和人民的认可，就是我们千方百计完成任务的最大动力！”2021年，随着职位晋升，他肩负起管理湖北 60 余座加油站的重任。从一家油站的站长，到湖北所有加油站的统筹管理，不论是时间精力，还是业务知识和能力，对白登文来说都是极大的考验。要想干好工作，首先要足够了解。他不辞辛劳，频繁穿梭于各站点之间，深入了解实际情况，为站长们提供精准指导，帮助解决经营难题，制定个性化发展策略。</w:t>
      </w:r>
    </w:p>
    <w:p w14:paraId="526B5F93">
      <w:pPr>
        <w:pageBreakBefore w:val="0"/>
        <w:kinsoku/>
        <w:wordWrap/>
        <w:overflowPunct/>
        <w:topLinePunct w:val="0"/>
        <w:autoSpaceDE/>
        <w:autoSpaceDN/>
        <w:bidi w:val="0"/>
        <w:adjustRightInd/>
        <w:snapToGrid/>
        <w:spacing w:after="0" w:line="560" w:lineRule="exact"/>
        <w:ind w:firstLine="640" w:firstLineChars="200"/>
        <w:textAlignment w:val="auto"/>
        <w:rPr>
          <w:rFonts w:hint="eastAsia"/>
        </w:rPr>
      </w:pPr>
      <w:r>
        <w:rPr>
          <w:rFonts w:hint="default" w:ascii="Times New Roman" w:hAnsi="Times New Roman" w:eastAsia="方正仿宋简体" w:cs="Times New Roman"/>
          <w:sz w:val="32"/>
          <w:szCs w:val="32"/>
          <w:lang w:val="en-US" w:eastAsia="zh-CN"/>
        </w:rPr>
        <w:t>在他的引领下，截至2022年底，中海炼化湖北销售公司全年油品零售实现利润总额5300万元，非油销售额突破3300万元，成功打造油品销量过万吨、累积海油卡顾客超万人、非油品销量过百万的“三万站”3个，为进一步推动零售管理业务高质量发展提供了有力保障。他以实际行动诠释着初心与使命，成为海油员工的精神灯塔，激励着更多人在平凡岗位上坚守奋斗、勇攀高峰，为行业发展贡献力量。</w:t>
      </w:r>
    </w:p>
    <w:p w14:paraId="40E7D5F1">
      <w:pPr>
        <w:pStyle w:val="2"/>
        <w:pageBreakBefore w:val="0"/>
        <w:kinsoku/>
        <w:wordWrap/>
        <w:overflowPunct/>
        <w:topLinePunct w:val="0"/>
        <w:autoSpaceDE/>
        <w:autoSpaceDN/>
        <w:bidi w:val="0"/>
        <w:adjustRightInd/>
        <w:snapToGrid/>
        <w:spacing w:before="0" w:after="0" w:line="560" w:lineRule="exact"/>
        <w:textAlignment w:val="auto"/>
        <w:rPr>
          <w:rFonts w:hint="eastAsia"/>
          <w:lang w:eastAsia="zh-CN"/>
        </w:rPr>
      </w:pPr>
      <w:bookmarkStart w:id="7" w:name="_Toc24278"/>
      <w:r>
        <w:rPr>
          <w:rFonts w:hint="eastAsia"/>
        </w:rPr>
        <w:t>毕业生案例</w:t>
      </w:r>
      <w:r>
        <w:rPr>
          <w:rFonts w:hint="eastAsia"/>
          <w:lang w:val="en-US" w:eastAsia="zh-CN"/>
        </w:rPr>
        <w:t>四</w:t>
      </w:r>
      <w:r>
        <w:rPr>
          <w:rFonts w:hint="eastAsia"/>
          <w:lang w:eastAsia="zh-CN"/>
        </w:rPr>
        <w:t>（县级及以下事业单位）</w:t>
      </w:r>
      <w:bookmarkEnd w:id="7"/>
    </w:p>
    <w:p w14:paraId="19075878">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朱启平，男，</w:t>
      </w:r>
      <w:r>
        <w:rPr>
          <w:rFonts w:ascii="Times New Roman" w:hAnsi="Times New Roman" w:eastAsia="方正仿宋简体" w:cs="Times New Roman"/>
          <w:sz w:val="32"/>
          <w:szCs w:val="32"/>
        </w:rPr>
        <w:t>1988年4月出生，中共党员，</w:t>
      </w:r>
      <w:r>
        <w:rPr>
          <w:rFonts w:hint="eastAsia" w:ascii="Times New Roman" w:hAnsi="Times New Roman" w:eastAsia="方正仿宋简体" w:cs="Times New Roman"/>
          <w:b/>
          <w:bCs/>
          <w:sz w:val="32"/>
          <w:szCs w:val="32"/>
          <w:lang w:val="en-US" w:eastAsia="zh-CN"/>
        </w:rPr>
        <w:t>毕业于</w:t>
      </w:r>
      <w:r>
        <w:rPr>
          <w:rFonts w:ascii="Times New Roman" w:hAnsi="Times New Roman" w:eastAsia="方正仿宋简体" w:cs="Times New Roman"/>
          <w:b/>
          <w:bCs/>
          <w:sz w:val="32"/>
          <w:szCs w:val="32"/>
        </w:rPr>
        <w:t>北京师范大学</w:t>
      </w:r>
      <w:r>
        <w:rPr>
          <w:rFonts w:hint="eastAsia" w:ascii="Times New Roman" w:hAnsi="Times New Roman" w:eastAsia="方正仿宋简体" w:cs="Times New Roman"/>
          <w:b/>
          <w:bCs/>
          <w:sz w:val="32"/>
          <w:szCs w:val="32"/>
          <w:lang w:eastAsia="zh-CN"/>
        </w:rPr>
        <w:t>，</w:t>
      </w:r>
      <w:r>
        <w:rPr>
          <w:rFonts w:hint="eastAsia" w:ascii="Times New Roman" w:hAnsi="Times New Roman" w:eastAsia="方正仿宋简体" w:cs="Times New Roman"/>
          <w:b/>
          <w:bCs/>
          <w:sz w:val="32"/>
          <w:szCs w:val="32"/>
          <w:lang w:val="en-US" w:eastAsia="zh-CN"/>
        </w:rPr>
        <w:t>现任</w:t>
      </w:r>
      <w:r>
        <w:rPr>
          <w:rFonts w:ascii="Times New Roman" w:hAnsi="Times New Roman" w:eastAsia="方正仿宋简体" w:cs="Times New Roman"/>
          <w:b/>
          <w:bCs/>
          <w:sz w:val="32"/>
          <w:szCs w:val="32"/>
        </w:rPr>
        <w:t>毕节市第一中学党支部副书记、教科处副主任</w:t>
      </w:r>
      <w:r>
        <w:rPr>
          <w:rFonts w:ascii="Times New Roman" w:hAnsi="Times New Roman" w:eastAsia="方正仿宋简体" w:cs="Times New Roman"/>
          <w:sz w:val="32"/>
          <w:szCs w:val="32"/>
        </w:rPr>
        <w:t>。毕业后，放弃省会城市工作机会，选择回到家乡任教，以做有温度的教育理念，唤醒山里娃飞翔梦，累计资助贫困学生10余位、资助金额近3万元。事迹得到新华社、《光明日报》等媒体报道40余次，被中央电视台拍成纪录片《我的故事》。主持省规划课题1项，参与编写专著4部，获基础教育教学成果省级特等奖1项、二等奖1项，曾获省最美劳动者、甲秀之光访问学者、北京市基层就业卓越奖等称号。</w:t>
      </w:r>
    </w:p>
    <w:p w14:paraId="49D9A5DF">
      <w:pPr>
        <w:pageBreakBefore w:val="0"/>
        <w:kinsoku/>
        <w:wordWrap/>
        <w:overflowPunct/>
        <w:topLinePunct w:val="0"/>
        <w:autoSpaceDE/>
        <w:autoSpaceDN/>
        <w:bidi w:val="0"/>
        <w:adjustRightInd/>
        <w:snapToGrid/>
        <w:spacing w:after="0" w:line="560" w:lineRule="exact"/>
        <w:jc w:val="center"/>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个人事迹</w:t>
      </w:r>
    </w:p>
    <w:p w14:paraId="610A1327">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朱启平是一位从贵州毕节偏远山村走出的青年，凭借着坚韧不拔的毅力和对知识的渴望，高考后踏入了北京师范大学的校门。在校期间，朱启平创办了贵州岩口爱心支教队，每年暑期带着支教志愿者们回到家乡支教，为家乡的孩子们带去温暖。北师大也在这里建立了暑期社会实践基地，援建了图书室和计算机教室，使得当地办学条件得到极大改善。</w:t>
      </w:r>
    </w:p>
    <w:p w14:paraId="08612EC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北师大给了我一束光，我要用这束光去照亮更多学生”，凭着这样的信念，毕业后，朱启平毅然选择回到家乡，成为贵州省毕节市第一中学的一名教师。成为教师的他深知教育对于改变命运的重要性，在教学工作中，他始终秉持“学为人师、行为世范”的校训，以学生为中心，注重培养学生的综合素质和创新能力。同时，他尽己所能资助与鼓舞有困难的同学，用自己的光和热照亮了学生的未来。</w:t>
      </w:r>
    </w:p>
    <w:p w14:paraId="42FB63D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从贵州毕节偏远山村到北京师范大学的殿堂，再回到家乡成为照亮学生前行之路的灯塔，朱启平的每一步都走得坚实有力量。“走出大山，去学教育！”曾经，是这样的信念鼓励少年朱启平坚持读书，努力考学。“回到大山，去做教育！”后来，是这样的信念指引着从北京师范大学毕业的朱启平扎根基层，为山区学生带去更有温度的教育。</w:t>
      </w:r>
    </w:p>
    <w:p w14:paraId="62AC4531">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一、</w:t>
      </w:r>
      <w:r>
        <w:rPr>
          <w:rFonts w:hint="eastAsia" w:ascii="Times New Roman" w:hAnsi="Times New Roman" w:eastAsia="方正仿宋简体" w:cs="Times New Roman"/>
          <w:b/>
          <w:bCs/>
          <w:sz w:val="32"/>
          <w:szCs w:val="32"/>
        </w:rPr>
        <w:t>扎根乡村做教育</w:t>
      </w:r>
    </w:p>
    <w:p w14:paraId="7FC0C20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2009年，朱启平以贵州省毕节市文科第一名的成绩考上了梦寐以求的北京师范大学。</w:t>
      </w:r>
      <w:r>
        <w:rPr>
          <w:rFonts w:hint="eastAsia" w:ascii="Times New Roman" w:hAnsi="Times New Roman" w:eastAsia="方正仿宋简体" w:cs="Times New Roman"/>
          <w:sz w:val="32"/>
          <w:szCs w:val="32"/>
        </w:rPr>
        <w:t>读高中时，他一边打工，一边坚持复读。毕节兰苑中学在了解他的情况后，让他免费在校复读。</w:t>
      </w:r>
    </w:p>
    <w:p w14:paraId="05D4328D">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刚上大一，朱启平就决定利用暑假到贵州毕节山区岩口村唯一的一所民办小学支教。为了能让自己的教学内容发挥更大作用，朱启平花费了一周的时间走访调研，与当地政府和教师充分沟通，严格招募并培训起了一支支教队伍。此后，连续</w:t>
      </w:r>
      <w:r>
        <w:rPr>
          <w:rFonts w:ascii="Times New Roman" w:hAnsi="Times New Roman" w:eastAsia="方正仿宋简体" w:cs="Times New Roman"/>
          <w:sz w:val="32"/>
          <w:szCs w:val="32"/>
        </w:rPr>
        <w:t>4年，朱启平不仅教给孩子们知识，更给予他们爱、信念和希望。</w:t>
      </w:r>
    </w:p>
    <w:p w14:paraId="466D7984">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朱启平的支教事迹经媒体关注并宣传后，为当地教育发展吸引了更多的社会关注和支持。希望工程联合当地政府在岩口建立了一所公办希望小学，北京师范大学也在这里建立了暑期社会实践基地，并援建了图书室和计算机教室。当地的办学条件得到了极大改善。</w:t>
      </w:r>
    </w:p>
    <w:p w14:paraId="78CC62BC">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bookmarkStart w:id="8" w:name="OLE_LINK4"/>
      <w:r>
        <w:rPr>
          <w:rFonts w:hint="eastAsia" w:ascii="Times New Roman" w:hAnsi="Times New Roman" w:eastAsia="方正仿宋简体" w:cs="Times New Roman"/>
          <w:b/>
          <w:bCs/>
          <w:sz w:val="32"/>
          <w:szCs w:val="32"/>
        </w:rPr>
        <w:t>二</w:t>
      </w:r>
      <w:r>
        <w:rPr>
          <w:rFonts w:ascii="Times New Roman" w:hAnsi="Times New Roman" w:eastAsia="方正仿宋简体" w:cs="Times New Roman"/>
          <w:b/>
          <w:bCs/>
          <w:sz w:val="32"/>
          <w:szCs w:val="32"/>
        </w:rPr>
        <w:t>、</w:t>
      </w:r>
      <w:r>
        <w:rPr>
          <w:rFonts w:hint="eastAsia" w:ascii="Times New Roman" w:hAnsi="Times New Roman" w:eastAsia="方正仿宋简体" w:cs="Times New Roman"/>
          <w:b/>
          <w:bCs/>
          <w:sz w:val="32"/>
          <w:szCs w:val="32"/>
        </w:rPr>
        <w:t>做学生成长的引导者</w:t>
      </w:r>
    </w:p>
    <w:bookmarkEnd w:id="8"/>
    <w:p w14:paraId="5B3A2BA0">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本科毕业后，朱启平拒绝了省会中学抛出的橄榄枝，积极响应党和国家到基层就业的号召，回到了毕节这片离大山更近的土地。“毕节需要好老师。我要在这片土地上为新的梦想而战：让我的学生长成栋梁。”</w:t>
      </w:r>
    </w:p>
    <w:p w14:paraId="61A88565">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成为毕节市第一中学教师的朱启平，每当教新一届学生时，做的第一件事就是努力记住每名学生的名字和基本信息，让每一名学生都能感受到来自教师的关心。学生们和他打成了一片，亲热地叫他“启平哥”。</w:t>
      </w:r>
    </w:p>
    <w:p w14:paraId="19125F97">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有学生过生日，朱启平会用北师大的明信片为学生写一张独一无二的生日贺卡，将在母校学习时的心得体会、人生感悟、精神信仰传递给他们。“工作以来，我一共给学生写了</w:t>
      </w:r>
      <w:r>
        <w:rPr>
          <w:rFonts w:ascii="Times New Roman" w:hAnsi="Times New Roman" w:eastAsia="方正仿宋简体" w:cs="Times New Roman"/>
          <w:sz w:val="32"/>
          <w:szCs w:val="32"/>
        </w:rPr>
        <w:t>1600多张明信片。”他经常以自己的人生经历，鼓励学生直面真实的自己，拉近与学生们的心理距离。</w:t>
      </w:r>
    </w:p>
    <w:p w14:paraId="70E9ECE8">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“作为班主任，我始终把学生的身心健康放在第一位。”朱启平陪学生跑步、读书，引导学生与自己和解，用心悦纳自己。他先后帮助</w:t>
      </w:r>
      <w:r>
        <w:rPr>
          <w:rFonts w:ascii="Times New Roman" w:hAnsi="Times New Roman" w:eastAsia="方正仿宋简体" w:cs="Times New Roman"/>
          <w:sz w:val="32"/>
          <w:szCs w:val="32"/>
        </w:rPr>
        <w:t>20多名孩子解决学习、人生和思想上的困惑，带领他们走出抑郁阴霾。</w:t>
      </w:r>
    </w:p>
    <w:p w14:paraId="5932844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“大多数学生来自农村，数学和英语基础都比较薄弱。”朱启平为学生搭建学习支架，引导学生克服心理恐惧，找到知识背后的逻辑，体验学习的乐趣。正是有这样的细致关注，工作以来，朱启平所带的</w:t>
      </w:r>
      <w:r>
        <w:rPr>
          <w:rFonts w:ascii="Times New Roman" w:hAnsi="Times New Roman" w:eastAsia="方正仿宋简体" w:cs="Times New Roman"/>
          <w:sz w:val="32"/>
          <w:szCs w:val="32"/>
        </w:rPr>
        <w:t>3届毕业班都取得了不错的成绩。</w:t>
      </w:r>
    </w:p>
    <w:p w14:paraId="020A8047">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他告诉学生们，遇到困难或挫折时可以给自己写信。“启平哥，我好迷茫……”几年前，朱启平曾收到这样一封来信。他了解到，这名学生家庭条件不太好，家中共有</w:t>
      </w:r>
      <w:r>
        <w:rPr>
          <w:rFonts w:ascii="Times New Roman" w:hAnsi="Times New Roman" w:eastAsia="方正仿宋简体" w:cs="Times New Roman"/>
          <w:sz w:val="32"/>
          <w:szCs w:val="32"/>
        </w:rPr>
        <w:t>4个孩子需要父母供养。于是朱启平决定每个月资助这名学生400元生活费，直到他考上大学。</w:t>
      </w:r>
    </w:p>
    <w:p w14:paraId="70DBA4CD">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11年来，朱启平和爱人累计资助学生10余名，帮助他们渡过了求学路上的难关。</w:t>
      </w:r>
    </w:p>
    <w:p w14:paraId="1410A2C2">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hint="eastAsia" w:ascii="Times New Roman" w:hAnsi="Times New Roman" w:eastAsia="方正仿宋简体" w:cs="Times New Roman"/>
          <w:b/>
          <w:bCs/>
          <w:sz w:val="32"/>
          <w:szCs w:val="32"/>
        </w:rPr>
        <w:t>三</w:t>
      </w:r>
      <w:r>
        <w:rPr>
          <w:rFonts w:ascii="Times New Roman" w:hAnsi="Times New Roman" w:eastAsia="方正仿宋简体" w:cs="Times New Roman"/>
          <w:b/>
          <w:bCs/>
          <w:sz w:val="32"/>
          <w:szCs w:val="32"/>
        </w:rPr>
        <w:t>、</w:t>
      </w:r>
      <w:r>
        <w:rPr>
          <w:rFonts w:hint="eastAsia" w:ascii="Times New Roman" w:hAnsi="Times New Roman" w:eastAsia="方正仿宋简体" w:cs="Times New Roman"/>
          <w:b/>
          <w:bCs/>
          <w:sz w:val="32"/>
          <w:szCs w:val="32"/>
        </w:rPr>
        <w:t>让孩子享受到充满生机的教育</w:t>
      </w:r>
    </w:p>
    <w:p w14:paraId="291BE2E3">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“作为一名基层教师，我深刻体会到教育对学生的重大意义。”朱启平的理想是让每一个孩子充分享受到充满生机的教育，让每一个孩子带着梦想飞得更高更远，让更多的孩子走出大山、共享人生出彩的机会。</w:t>
      </w:r>
    </w:p>
    <w:p w14:paraId="354E433C">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“做更有温度的教育，这不仅是我心中的教育理念，更是我践行的教育方式。”朱启平希望，能在未来的教育之路上坚持做小小的火炬，用一方小小的光明照亮孩子们的求学梦想，并努力带给他们更多温暖。</w:t>
      </w:r>
    </w:p>
    <w:p w14:paraId="23EAAD86">
      <w:pPr>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br w:type="page"/>
      </w:r>
    </w:p>
    <w:p w14:paraId="7D0FBD8D">
      <w:pPr>
        <w:pStyle w:val="2"/>
        <w:pageBreakBefore w:val="0"/>
        <w:kinsoku/>
        <w:wordWrap/>
        <w:overflowPunct/>
        <w:topLinePunct w:val="0"/>
        <w:autoSpaceDE/>
        <w:autoSpaceDN/>
        <w:bidi w:val="0"/>
        <w:adjustRightInd/>
        <w:snapToGrid/>
        <w:spacing w:before="0" w:after="0" w:line="560" w:lineRule="exact"/>
        <w:textAlignment w:val="auto"/>
        <w:rPr>
          <w:rFonts w:hint="eastAsia"/>
          <w:lang w:eastAsia="zh-CN"/>
        </w:rPr>
      </w:pPr>
      <w:bookmarkStart w:id="9" w:name="_Toc2439"/>
      <w:r>
        <w:rPr>
          <w:rFonts w:hint="eastAsia"/>
        </w:rPr>
        <w:t>毕业生案例</w:t>
      </w:r>
      <w:r>
        <w:rPr>
          <w:rFonts w:hint="eastAsia"/>
          <w:lang w:val="en-US" w:eastAsia="zh-CN"/>
        </w:rPr>
        <w:t>五</w:t>
      </w:r>
      <w:r>
        <w:rPr>
          <w:rFonts w:hint="eastAsia"/>
          <w:lang w:eastAsia="zh-CN"/>
        </w:rPr>
        <w:t>（</w:t>
      </w:r>
      <w:r>
        <w:rPr>
          <w:rFonts w:hint="eastAsia"/>
          <w:lang w:val="en-US" w:eastAsia="zh-CN"/>
        </w:rPr>
        <w:t>自主创业</w:t>
      </w:r>
      <w:r>
        <w:rPr>
          <w:rFonts w:hint="eastAsia"/>
          <w:lang w:eastAsia="zh-CN"/>
        </w:rPr>
        <w:t>）</w:t>
      </w:r>
      <w:bookmarkEnd w:id="9"/>
    </w:p>
    <w:p w14:paraId="5FE7BC30">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金保鹏，男，高级工程师，</w:t>
      </w:r>
      <w:r>
        <w:rPr>
          <w:rFonts w:ascii="Times New Roman" w:hAnsi="Times New Roman" w:eastAsia="方正仿宋简体" w:cs="Times New Roman"/>
          <w:sz w:val="32"/>
          <w:szCs w:val="32"/>
        </w:rPr>
        <w:t>2016年毕业于</w:t>
      </w:r>
      <w:r>
        <w:rPr>
          <w:rFonts w:ascii="Times New Roman" w:hAnsi="Times New Roman" w:eastAsia="方正仿宋简体" w:cs="Times New Roman"/>
          <w:b/>
          <w:bCs/>
          <w:sz w:val="32"/>
          <w:szCs w:val="32"/>
        </w:rPr>
        <w:t>重庆科技大学</w:t>
      </w:r>
      <w:r>
        <w:rPr>
          <w:rFonts w:ascii="Times New Roman" w:hAnsi="Times New Roman" w:eastAsia="方正仿宋简体" w:cs="Times New Roman"/>
          <w:sz w:val="32"/>
          <w:szCs w:val="32"/>
        </w:rPr>
        <w:t>安全工程学院安全工程专业。2019年他成立了</w:t>
      </w:r>
      <w:r>
        <w:rPr>
          <w:rFonts w:ascii="Times New Roman" w:hAnsi="Times New Roman" w:eastAsia="方正仿宋简体" w:cs="Times New Roman"/>
          <w:b/>
          <w:bCs/>
          <w:sz w:val="32"/>
          <w:szCs w:val="32"/>
        </w:rPr>
        <w:t>重庆科炬企业孵化器有限公司，</w:t>
      </w:r>
      <w:r>
        <w:rPr>
          <w:rFonts w:ascii="Times New Roman" w:hAnsi="Times New Roman" w:eastAsia="方正仿宋简体" w:cs="Times New Roman"/>
          <w:b w:val="0"/>
          <w:bCs w:val="0"/>
          <w:sz w:val="32"/>
          <w:szCs w:val="32"/>
        </w:rPr>
        <w:t>现任重庆市青年创新创业促进会副会长、</w:t>
      </w:r>
      <w:r>
        <w:rPr>
          <w:rFonts w:ascii="Times New Roman" w:hAnsi="Times New Roman" w:eastAsia="方正仿宋简体" w:cs="Times New Roman"/>
          <w:sz w:val="32"/>
          <w:szCs w:val="32"/>
        </w:rPr>
        <w:t>成渝高校创新创业促进会秘书长，中国青年创业导师，国家科技创业孵化贡献奖评审专家，成渝地区双城经济圈高校就业创业“双百”导师团专家、重庆市科技局孵化器（众创空间）评审专家、重庆市高校双创明星评选专家、中国创新创业大赛、“创客中国”全国中小企业大赛评委，重庆科技大学、重庆理工大学创业导师。主持申报国家级、市级双创孵化平台</w:t>
      </w:r>
      <w:r>
        <w:rPr>
          <w:rFonts w:hint="eastAsia" w:ascii="Times New Roman" w:hAnsi="Times New Roman" w:eastAsia="方正仿宋简体" w:cs="Times New Roman"/>
          <w:sz w:val="32"/>
          <w:szCs w:val="32"/>
        </w:rPr>
        <w:t>项目</w:t>
      </w:r>
      <w:r>
        <w:rPr>
          <w:rFonts w:ascii="Times New Roman" w:hAnsi="Times New Roman" w:eastAsia="方正仿宋简体" w:cs="Times New Roman"/>
          <w:sz w:val="32"/>
          <w:szCs w:val="32"/>
        </w:rPr>
        <w:t>10余项，辅导的项目在中国创新创业大赛、中国互联网+大学生创新创业大赛、获得省部级金奖奖项60余项，持股投资孵化项目产值达亿元，推动技术转移成果转化交易额达5000余万元。</w:t>
      </w:r>
    </w:p>
    <w:p w14:paraId="582B61EA">
      <w:pPr>
        <w:pageBreakBefore w:val="0"/>
        <w:kinsoku/>
        <w:wordWrap/>
        <w:overflowPunct/>
        <w:topLinePunct w:val="0"/>
        <w:autoSpaceDE/>
        <w:autoSpaceDN/>
        <w:bidi w:val="0"/>
        <w:adjustRightInd/>
        <w:snapToGrid/>
        <w:spacing w:after="0" w:line="560" w:lineRule="exact"/>
        <w:jc w:val="center"/>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个人事迹</w:t>
      </w:r>
    </w:p>
    <w:p w14:paraId="6D6B970F">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t>一、</w:t>
      </w:r>
      <w:r>
        <w:rPr>
          <w:rFonts w:hint="eastAsia" w:ascii="Times New Roman" w:hAnsi="Times New Roman" w:eastAsia="方正仿宋简体" w:cs="Times New Roman"/>
          <w:b/>
          <w:bCs/>
          <w:sz w:val="32"/>
          <w:szCs w:val="32"/>
        </w:rPr>
        <w:t>始于热爱成于坚持</w:t>
      </w:r>
    </w:p>
    <w:p w14:paraId="0295F9D5">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金保鹏与创业结缘，还得从大学开始说起。大二那年，金保鹏到大学生创业助学基地实践，并在第二年</w:t>
      </w:r>
      <w:r>
        <w:rPr>
          <w:rFonts w:hint="eastAsia" w:ascii="Times New Roman" w:hAnsi="Times New Roman" w:eastAsia="方正仿宋简体" w:cs="Times New Roman"/>
          <w:sz w:val="32"/>
          <w:szCs w:val="32"/>
          <w:lang w:eastAsia="zh-CN"/>
        </w:rPr>
        <w:t>成为</w:t>
      </w:r>
      <w:r>
        <w:rPr>
          <w:rFonts w:hint="eastAsia" w:ascii="Times New Roman" w:hAnsi="Times New Roman" w:eastAsia="方正仿宋简体" w:cs="Times New Roman"/>
          <w:sz w:val="32"/>
          <w:szCs w:val="32"/>
        </w:rPr>
        <w:t>基地总经理，这是他创业故事的最早萌芽。也是从这时起，他开始对促进科技成果转化产生了兴趣。毕业后在中国水利水电第九工程局担任助理工程师两个月后，他还是选择从事他热爱的事业。从</w:t>
      </w:r>
      <w:r>
        <w:rPr>
          <w:rFonts w:ascii="Times New Roman" w:hAnsi="Times New Roman" w:eastAsia="方正仿宋简体" w:cs="Times New Roman"/>
          <w:sz w:val="32"/>
          <w:szCs w:val="32"/>
        </w:rPr>
        <w:t>2013年到现在，在近10年的时间里。金保鹏从最初在学校只是想勤工助学到后来想要创业，到开始接手“众创之家”（重庆市科技者众创之家），再到独立市场化运营重庆科炬。金保鹏说“做企业孵化，对我来说是‘成己达人’的事业。”</w:t>
      </w:r>
    </w:p>
    <w:p w14:paraId="26FE9D7A">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hint="eastAsia" w:ascii="Times New Roman" w:hAnsi="Times New Roman" w:eastAsia="方正仿宋简体" w:cs="Times New Roman"/>
          <w:b/>
          <w:bCs/>
          <w:sz w:val="32"/>
          <w:szCs w:val="32"/>
        </w:rPr>
        <w:t>二</w:t>
      </w:r>
      <w:r>
        <w:rPr>
          <w:rFonts w:ascii="Times New Roman" w:hAnsi="Times New Roman" w:eastAsia="方正仿宋简体" w:cs="Times New Roman"/>
          <w:b/>
          <w:bCs/>
          <w:sz w:val="32"/>
          <w:szCs w:val="32"/>
        </w:rPr>
        <w:t>、</w:t>
      </w:r>
      <w:r>
        <w:rPr>
          <w:rFonts w:hint="eastAsia" w:ascii="Times New Roman" w:hAnsi="Times New Roman" w:eastAsia="方正仿宋简体" w:cs="Times New Roman"/>
          <w:b/>
          <w:bCs/>
          <w:sz w:val="32"/>
          <w:szCs w:val="32"/>
        </w:rPr>
        <w:t>走出企业孵化新路</w:t>
      </w:r>
    </w:p>
    <w:p w14:paraId="41B96944">
      <w:pPr>
        <w:pageBreakBefore w:val="0"/>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针对市场普遍存在的科技成果转化难、市场应用价值低、孵化周期长等问题，面向高校应用性科技成果和重庆高新区的产业发展方向，他带领团队创建了两个孵化平台，即国家级科技企业孵化器，国家级小微企业创新创业示范基地，并荣获中国科技孵化创业贡献奖和成渝双创十大特色载体。经过</w:t>
      </w:r>
      <w:r>
        <w:rPr>
          <w:rFonts w:ascii="Times New Roman" w:hAnsi="Times New Roman" w:eastAsia="方正仿宋简体" w:cs="Times New Roman"/>
          <w:sz w:val="32"/>
          <w:szCs w:val="32"/>
        </w:rPr>
        <w:t>5年的深耕研究，形成了“一三五”的特色孵化模式，即面向企业需求、高校学科优势、种子投资，建成重庆高校首个从众创空间——孵化器——加速器的孵化链条，组建了12名技术经纪人的市场化队伍；探索形成了“三型”转化模式，以孵化载体为依托的成果</w:t>
      </w:r>
      <w:r>
        <w:rPr>
          <w:rFonts w:hint="eastAsia" w:ascii="Times New Roman" w:hAnsi="Times New Roman" w:eastAsia="方正仿宋简体" w:cs="Times New Roman"/>
          <w:sz w:val="32"/>
          <w:szCs w:val="32"/>
          <w:lang w:eastAsia="zh-CN"/>
        </w:rPr>
        <w:t>孵化</w:t>
      </w:r>
      <w:r>
        <w:rPr>
          <w:rFonts w:ascii="Times New Roman" w:hAnsi="Times New Roman" w:eastAsia="方正仿宋简体" w:cs="Times New Roman"/>
          <w:sz w:val="32"/>
          <w:szCs w:val="32"/>
        </w:rPr>
        <w:t>模式，以高校+企业创新平台为依托的技术成果供给的转化型模式，以技术转移示范机构为依托的成果交易转移的自创型模式，培育了国家高新</w:t>
      </w:r>
      <w:r>
        <w:rPr>
          <w:rFonts w:hint="eastAsia" w:ascii="Times New Roman" w:hAnsi="Times New Roman" w:eastAsia="方正仿宋简体" w:cs="Times New Roman"/>
          <w:sz w:val="32"/>
          <w:szCs w:val="32"/>
          <w:lang w:eastAsia="zh-CN"/>
        </w:rPr>
        <w:t>企业</w:t>
      </w:r>
      <w:r>
        <w:rPr>
          <w:rFonts w:ascii="Times New Roman" w:hAnsi="Times New Roman" w:eastAsia="方正仿宋简体" w:cs="Times New Roman"/>
          <w:sz w:val="32"/>
          <w:szCs w:val="32"/>
        </w:rPr>
        <w:t>20余家，市级科技型企业100余家，推动技术转化交易额达5000余万元，孵化企业达300家；创建了“五有”服务品牌，形成技术转移有服务、成果孵化有投资、转化需求有平台、精准匹配有链条、服务企业有效益的“五有”服务，帮助企业融资达5000余万元，带动企业累计服务地方税收达1000余万元，推动科技成果普及达2万人次。</w:t>
      </w:r>
    </w:p>
    <w:p w14:paraId="10EC217F">
      <w:pPr>
        <w:pageBreakBefore w:val="0"/>
        <w:kinsoku/>
        <w:wordWrap/>
        <w:overflowPunct/>
        <w:topLinePunct w:val="0"/>
        <w:autoSpaceDE/>
        <w:autoSpaceDN/>
        <w:bidi w:val="0"/>
        <w:adjustRightInd/>
        <w:snapToGrid/>
        <w:spacing w:after="0" w:line="560" w:lineRule="exact"/>
        <w:ind w:firstLine="643" w:firstLineChars="200"/>
        <w:jc w:val="both"/>
        <w:textAlignment w:val="auto"/>
        <w:rPr>
          <w:rFonts w:ascii="Times New Roman" w:hAnsi="Times New Roman" w:eastAsia="方正仿宋简体" w:cs="Times New Roman"/>
          <w:b/>
          <w:bCs/>
          <w:sz w:val="32"/>
          <w:szCs w:val="32"/>
        </w:rPr>
      </w:pPr>
      <w:r>
        <w:rPr>
          <w:rFonts w:hint="eastAsia" w:ascii="Times New Roman" w:hAnsi="Times New Roman" w:eastAsia="方正仿宋简体" w:cs="Times New Roman"/>
          <w:b/>
          <w:bCs/>
          <w:sz w:val="32"/>
          <w:szCs w:val="32"/>
        </w:rPr>
        <w:t>三</w:t>
      </w:r>
      <w:r>
        <w:rPr>
          <w:rFonts w:ascii="Times New Roman" w:hAnsi="Times New Roman" w:eastAsia="方正仿宋简体" w:cs="Times New Roman"/>
          <w:b/>
          <w:bCs/>
          <w:sz w:val="32"/>
          <w:szCs w:val="32"/>
        </w:rPr>
        <w:t>、</w:t>
      </w:r>
      <w:r>
        <w:rPr>
          <w:rFonts w:hint="eastAsia" w:ascii="Times New Roman" w:hAnsi="Times New Roman" w:eastAsia="方正仿宋简体" w:cs="Times New Roman"/>
          <w:b/>
          <w:bCs/>
          <w:sz w:val="32"/>
          <w:szCs w:val="32"/>
        </w:rPr>
        <w:t>帮助学生创业者圆梦</w:t>
      </w:r>
    </w:p>
    <w:p w14:paraId="665C748D">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金保鹏创建公司后吸纳了</w:t>
      </w:r>
      <w:r>
        <w:rPr>
          <w:rFonts w:ascii="Times New Roman" w:hAnsi="Times New Roman" w:eastAsia="方正仿宋简体" w:cs="Times New Roman"/>
          <w:sz w:val="32"/>
          <w:szCs w:val="32"/>
        </w:rPr>
        <w:t>12名大学毕业生，并带动为130余名家庭贫困生提供了创业助学岗位，组织成立了成渝高校创新创业促进会，吸纳了川渝50余所高校、30余家企业、100余名创业导师为大学生建立了创业帮扶平台；参与中央引导地方财政资金“基于人工智能技术的创新创业服务应用”研究，经过对企业健康评估、政策匹配、技术支撑和动态等级管理，对1000家企业进行健康评估，结合健康评估等级与应用成果进行匹配和市场概念验证，完成经济效益的财务可行性分析和成果推广交易；持股孵化的桥梁加固项目，服务国家重大战略，在亚洲最大的体育场</w:t>
      </w:r>
      <w:r>
        <w:rPr>
          <w:rFonts w:hint="eastAsia" w:ascii="Times New Roman" w:hAnsi="Times New Roman" w:eastAsia="方正仿宋简体" w:cs="Times New Roman"/>
          <w:sz w:val="32"/>
          <w:szCs w:val="32"/>
        </w:rPr>
        <w:t>三亚体育场投入量产，创造了六项世界技术第一并主持国家标准</w:t>
      </w:r>
      <w:r>
        <w:rPr>
          <w:rFonts w:ascii="Times New Roman" w:hAnsi="Times New Roman" w:eastAsia="方正仿宋简体" w:cs="Times New Roman"/>
          <w:sz w:val="32"/>
          <w:szCs w:val="32"/>
        </w:rPr>
        <w:t>1项，行业标准2项，产值过亿；并按照市教委和重庆高新区推进的大创谷建设方案，主动承担西部（重庆）科学城大创谷孵化服务中心建设，推动孵化企业获批博士后工作站2项、培育双一流高校人才创办企业30余家、指导项目获省部级以上大赛奖项80余项，孵化平台年产值近2亿元。</w:t>
      </w:r>
    </w:p>
    <w:p w14:paraId="0DBBEE8B">
      <w:pPr>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未来，他将继续打造“成果银行”，继续推进创新型人才培养、科技成果转化和企业迭代创新，推进科技、金融，技术和人才的有效结合，更好地服务地方经济发展。</w:t>
      </w:r>
    </w:p>
    <w:p w14:paraId="22660DDF">
      <w:pPr>
        <w:pageBreakBefore w:val="0"/>
        <w:widowControl/>
        <w:kinsoku/>
        <w:wordWrap/>
        <w:overflowPunct/>
        <w:topLinePunct w:val="0"/>
        <w:autoSpaceDE/>
        <w:autoSpaceDN/>
        <w:bidi w:val="0"/>
        <w:adjustRightInd/>
        <w:snapToGrid/>
        <w:spacing w:after="0" w:line="560" w:lineRule="exact"/>
        <w:textAlignment w:val="auto"/>
        <w:rPr>
          <w:rFonts w:ascii="Times New Roman" w:hAnsi="Times New Roman" w:eastAsia="方正仿宋简体" w:cs="Times New Roman"/>
          <w:b/>
          <w:bCs/>
          <w:sz w:val="32"/>
          <w:szCs w:val="32"/>
        </w:rPr>
      </w:pPr>
      <w:r>
        <w:rPr>
          <w:rFonts w:ascii="Times New Roman" w:hAnsi="Times New Roman" w:eastAsia="方正仿宋简体" w:cs="Times New Roman"/>
          <w:b/>
          <w:bCs/>
          <w:sz w:val="32"/>
          <w:szCs w:val="32"/>
        </w:rPr>
        <w:br w:type="page"/>
      </w:r>
    </w:p>
    <w:p w14:paraId="545075A4">
      <w:pPr>
        <w:pStyle w:val="2"/>
        <w:pageBreakBefore w:val="0"/>
        <w:kinsoku/>
        <w:wordWrap/>
        <w:overflowPunct/>
        <w:topLinePunct w:val="0"/>
        <w:autoSpaceDE/>
        <w:autoSpaceDN/>
        <w:bidi w:val="0"/>
        <w:adjustRightInd/>
        <w:snapToGrid/>
        <w:spacing w:before="0" w:after="0" w:line="560" w:lineRule="exact"/>
        <w:textAlignment w:val="auto"/>
        <w:rPr>
          <w:rFonts w:hint="eastAsia"/>
        </w:rPr>
      </w:pPr>
      <w:bookmarkStart w:id="10" w:name="_Toc31004"/>
      <w:r>
        <w:rPr>
          <w:rFonts w:hint="eastAsia"/>
        </w:rPr>
        <w:t>毕业生案例</w:t>
      </w:r>
      <w:r>
        <w:rPr>
          <w:rFonts w:hint="eastAsia"/>
          <w:lang w:val="en-US" w:eastAsia="zh-CN"/>
        </w:rPr>
        <w:t>六</w:t>
      </w:r>
      <w:r>
        <w:rPr>
          <w:rFonts w:hint="eastAsia"/>
          <w:lang w:eastAsia="zh-CN"/>
        </w:rPr>
        <w:t>（县级及以下非公有制组织和中小企业）</w:t>
      </w:r>
      <w:bookmarkEnd w:id="10"/>
    </w:p>
    <w:p w14:paraId="43CE17DF">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邱金铭，男，中共党员，硕士研究生，采矿工程师、爆破工程师、注册安全工程师。2015年硕士毕业于</w:t>
      </w:r>
      <w:r>
        <w:rPr>
          <w:rFonts w:hint="eastAsia" w:ascii="Times New Roman" w:hAnsi="Times New Roman" w:eastAsia="方正仿宋简体" w:cs="Times New Roman"/>
          <w:b/>
          <w:bCs/>
          <w:sz w:val="32"/>
          <w:szCs w:val="32"/>
          <w:lang w:val="en-US" w:eastAsia="zh-CN"/>
        </w:rPr>
        <w:t>江西理工大学</w:t>
      </w:r>
      <w:r>
        <w:rPr>
          <w:rFonts w:hint="eastAsia" w:ascii="Times New Roman" w:hAnsi="Times New Roman" w:eastAsia="方正仿宋简体" w:cs="Times New Roman"/>
          <w:b/>
          <w:bCs/>
          <w:sz w:val="32"/>
          <w:szCs w:val="32"/>
        </w:rPr>
        <w:t>，现任崇义章源钨业股份有限公司大余石雷钨矿矿长、公司技术委员会委员</w:t>
      </w:r>
      <w:r>
        <w:rPr>
          <w:rFonts w:hint="eastAsia" w:ascii="Times New Roman" w:hAnsi="Times New Roman" w:eastAsia="方正仿宋简体" w:cs="Times New Roman"/>
          <w:sz w:val="32"/>
          <w:szCs w:val="32"/>
        </w:rPr>
        <w:t>、矿山培训学校讲师，曾任崇义章源钨业股份有限公司淘锡坑钨矿总工程师、副矿长等，长期从事金属矿山安全生产技术管理。发表期刊论文5篇，专著1部，申请发明专利5项，授权实用新型专利6项。曾获“中国有色金属科技论文”二等奖、崇义章源钨业股份有限公司“优秀员工”“模范党员”“优秀共产党员”等荣誉。</w:t>
      </w:r>
    </w:p>
    <w:p w14:paraId="5C12968E">
      <w:pPr>
        <w:pageBreakBefore w:val="0"/>
        <w:kinsoku/>
        <w:wordWrap/>
        <w:overflowPunct/>
        <w:topLinePunct w:val="0"/>
        <w:autoSpaceDE/>
        <w:autoSpaceDN/>
        <w:bidi w:val="0"/>
        <w:adjustRightInd/>
        <w:snapToGrid/>
        <w:spacing w:after="0" w:line="560" w:lineRule="exact"/>
        <w:jc w:val="center"/>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个人事迹</w:t>
      </w:r>
    </w:p>
    <w:p w14:paraId="051BFD23">
      <w:pPr>
        <w:pageBreakBefore w:val="0"/>
        <w:kinsoku/>
        <w:wordWrap/>
        <w:overflowPunct/>
        <w:topLinePunct w:val="0"/>
        <w:autoSpaceDE/>
        <w:autoSpaceDN/>
        <w:bidi w:val="0"/>
        <w:adjustRightInd/>
        <w:snapToGrid/>
        <w:spacing w:after="0" w:line="560" w:lineRule="exact"/>
        <w:ind w:firstLine="643" w:firstLineChars="200"/>
        <w:jc w:val="both"/>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一、扛起时代重任，扎根矿业一线</w:t>
      </w:r>
    </w:p>
    <w:p w14:paraId="5D2F3C14">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2015年，邱金铭怀揣“到基层和人民中去建功立业，让青春之花绽放在祖国最需要的地方”的信念，毅然选择留在赣南革命老区，扎根艰苦矿山一线，到矿山从事专业技术工作，自此后的七年里，从一线技术员到矿山主要负责人，他始终奋斗在生产第一线，时刻发挥着一名青年党员的先锋模范作用。长期以来，他沉下心、俯下身，干一行，爱一行，专一行，常常下到生产一线，从工人那了解生产工艺流程及现场变化状况，掌握每一个生产环节，合理优化作业现场技术与环境。在急难险重任务前，他敢于冲锋上阵，靠前指挥，及时解决现场存在的问题，不断让专业知识与实践相结合</w:t>
      </w:r>
    </w:p>
    <w:p w14:paraId="5B82359A">
      <w:pPr>
        <w:pageBreakBefore w:val="0"/>
        <w:kinsoku/>
        <w:wordWrap/>
        <w:overflowPunct/>
        <w:topLinePunct w:val="0"/>
        <w:autoSpaceDE/>
        <w:autoSpaceDN/>
        <w:bidi w:val="0"/>
        <w:adjustRightInd/>
        <w:snapToGrid/>
        <w:spacing w:after="0" w:line="560" w:lineRule="exact"/>
        <w:ind w:firstLine="643" w:firstLineChars="200"/>
        <w:jc w:val="both"/>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二、肩负时代使命，构建平安矿区</w:t>
      </w:r>
    </w:p>
    <w:p w14:paraId="089E5DE1">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七年来，邱金铭不仅在矿山技术管理工作中成绩显著，还始终将安全工作放在一切工作的首位。他牢固树立“不安全、不环保、不合法、不生产”的红线意识，团结所有管理人员，通过强化安全教育培训、严格现场隐患整治、重奖重罚树立典型、严防坚守重点环节、规范职业卫生管理等手段建立起了齐抓共管的安全管理体系。近年来，其所在矿山持续保持了安全、环保平稳态势，矿山百万工时伤害率呈逐年下降趋势，近六年未发生工亡事故，保持了本行业的安全工作先进水平，先后获得江西省“十三五”期间安全生产先进单位、2020年赣州市五一劳动奖章等荣誉称号。</w:t>
      </w:r>
    </w:p>
    <w:p w14:paraId="6690934C">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此外，他作为集团公司矿山培训学堂讲师，他将所学知识与矿山实际充分结合，精心制作内容丰富翔实、通俗易懂的PPT课件，将各类安全管理专业技师知识深入浅出地传授给全体矿山管理人员，从法律法规、安全意识到双重预防机制一一解读，在推广安全管理经验方面发挥了带头作用，带动职工队伍共同成长，为总体提升矿山安全管理人员职业技能水平做出贡献。</w:t>
      </w:r>
    </w:p>
    <w:p w14:paraId="35E8C8E2">
      <w:pPr>
        <w:pageBreakBefore w:val="0"/>
        <w:kinsoku/>
        <w:wordWrap/>
        <w:overflowPunct/>
        <w:topLinePunct w:val="0"/>
        <w:autoSpaceDE/>
        <w:autoSpaceDN/>
        <w:bidi w:val="0"/>
        <w:adjustRightInd/>
        <w:snapToGrid/>
        <w:spacing w:after="0" w:line="560" w:lineRule="exact"/>
        <w:ind w:firstLine="643" w:firstLineChars="200"/>
        <w:jc w:val="both"/>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三、探索时代前沿，共创研发未来</w:t>
      </w:r>
    </w:p>
    <w:p w14:paraId="3D3E4FCE">
      <w:pPr>
        <w:pageBreakBefore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邱金铭在科技进步与创新领域积极探索，了解当代前沿技术、设备、工艺，</w:t>
      </w:r>
      <w:r>
        <w:rPr>
          <w:rFonts w:hint="eastAsia" w:ascii="Times New Roman" w:hAnsi="Times New Roman" w:eastAsia="方正仿宋简体" w:cs="Times New Roman"/>
          <w:sz w:val="32"/>
          <w:szCs w:val="32"/>
          <w:lang w:val="en-US" w:eastAsia="zh-CN"/>
        </w:rPr>
        <w:t>开阔眼界</w:t>
      </w:r>
      <w:r>
        <w:rPr>
          <w:rFonts w:hint="default" w:ascii="Times New Roman" w:hAnsi="Times New Roman" w:eastAsia="方正仿宋简体" w:cs="Times New Roman"/>
          <w:sz w:val="32"/>
          <w:szCs w:val="32"/>
          <w:lang w:val="en-US" w:eastAsia="zh-CN"/>
        </w:rPr>
        <w:t>，不断提升自己。作为公司技术委员会委员，他积极参与推进公司重点研发项目，围绕安全、高效、智能化矿山建设目标，先后参与完善了《地下矿山高效开采设备的应用与智能化建设》《急倾斜脉状矿体采、选高效技术的应用与工艺变革》《天井钻机在黑钨矿山的应用研究》《智能选矿机在黑钨矿山的应用研究》《井下自动化、智能化集中排水系统优化》等矿山工艺变革及技术革新研发项目，设计并指导建立的井下预抛废及充填转运系统，实现了在井下矿、废初步分离，提高了出窿原矿品位，同时分离废石直接干式充填采空区，做到井下废石不出窿，保障了矿山开采安全，具有良好的经济与社会价值。</w:t>
      </w:r>
    </w:p>
    <w:p w14:paraId="2C7F4EFF">
      <w:pPr>
        <w:pageBreakBefore w:val="0"/>
        <w:kinsoku/>
        <w:wordWrap/>
        <w:overflowPunct/>
        <w:topLinePunct w:val="0"/>
        <w:autoSpaceDE/>
        <w:autoSpaceDN/>
        <w:bidi w:val="0"/>
        <w:adjustRightInd/>
        <w:snapToGrid/>
        <w:spacing w:after="0" w:line="560" w:lineRule="exact"/>
        <w:textAlignment w:val="auto"/>
        <w:rPr>
          <w:rFonts w:hint="eastAsia" w:ascii="Times New Roman" w:hAnsi="Times New Roman" w:eastAsia="方正仿宋简体" w:cs="Times New Roman"/>
          <w:sz w:val="36"/>
          <w:szCs w:val="36"/>
          <w:lang w:val="en-US" w:eastAsia="zh-CN"/>
        </w:rPr>
      </w:pPr>
      <w:r>
        <w:rPr>
          <w:rFonts w:hint="eastAsia" w:ascii="Times New Roman" w:hAnsi="Times New Roman" w:eastAsia="方正仿宋简体" w:cs="Times New Roman"/>
          <w:sz w:val="36"/>
          <w:szCs w:val="36"/>
          <w:lang w:val="en-US" w:eastAsia="zh-CN"/>
        </w:rPr>
        <w:br w:type="page"/>
      </w:r>
    </w:p>
    <w:p w14:paraId="4B081B3C">
      <w:pPr>
        <w:pStyle w:val="2"/>
        <w:pageBreakBefore w:val="0"/>
        <w:kinsoku/>
        <w:wordWrap/>
        <w:overflowPunct/>
        <w:topLinePunct w:val="0"/>
        <w:autoSpaceDE/>
        <w:autoSpaceDN/>
        <w:bidi w:val="0"/>
        <w:adjustRightInd/>
        <w:snapToGrid/>
        <w:spacing w:before="0" w:after="0" w:line="560" w:lineRule="exact"/>
        <w:textAlignment w:val="auto"/>
        <w:rPr>
          <w:rFonts w:hint="eastAsia"/>
          <w:lang w:val="en-US" w:eastAsia="zh-CN"/>
        </w:rPr>
      </w:pPr>
      <w:bookmarkStart w:id="11" w:name="_Toc8851"/>
      <w:r>
        <w:rPr>
          <w:rFonts w:hint="eastAsia"/>
          <w:lang w:val="en-US" w:eastAsia="zh-CN"/>
        </w:rPr>
        <w:t>毕业生案例七（团级以下单位应征入伍）</w:t>
      </w:r>
      <w:bookmarkEnd w:id="11"/>
    </w:p>
    <w:p w14:paraId="5E327E59">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孙震，中共党员，</w:t>
      </w:r>
      <w:r>
        <w:rPr>
          <w:rFonts w:hint="default" w:ascii="Times New Roman" w:hAnsi="Times New Roman" w:eastAsia="方正仿宋简体" w:cs="Times New Roman"/>
          <w:b/>
          <w:bCs/>
          <w:sz w:val="32"/>
          <w:szCs w:val="32"/>
          <w:lang w:val="en-US" w:eastAsia="zh-CN"/>
        </w:rPr>
        <w:t>成都中医药大学2014届护理学专业优秀本科毕业生</w:t>
      </w:r>
      <w:r>
        <w:rPr>
          <w:rFonts w:hint="default" w:ascii="Times New Roman" w:hAnsi="Times New Roman" w:eastAsia="方正仿宋简体" w:cs="Times New Roman"/>
          <w:sz w:val="32"/>
          <w:szCs w:val="32"/>
          <w:lang w:val="en-US" w:eastAsia="zh-CN"/>
        </w:rPr>
        <w:t>，本科毕业后参军入伍，扎根边疆。2016年7月荣获武警西藏边防总队爱民固边先进个人称号，同年其救援事迹被中央电视台《军事纪实》栏目以“神山下的救援”报道。2019年7月获评西藏自治区林芝市墨脱县民族团结先进个人。2024年荣获全国高校毕业生基层就业卓越奖。曾任</w:t>
      </w:r>
      <w:r>
        <w:rPr>
          <w:rFonts w:hint="default" w:ascii="Times New Roman" w:hAnsi="Times New Roman" w:eastAsia="方正仿宋简体" w:cs="Times New Roman"/>
          <w:b/>
          <w:bCs/>
          <w:sz w:val="32"/>
          <w:szCs w:val="32"/>
          <w:lang w:val="en-US" w:eastAsia="zh-CN"/>
        </w:rPr>
        <w:t>武警西藏边防总队阿里支队警医、上尉正连职</w:t>
      </w:r>
      <w:r>
        <w:rPr>
          <w:rFonts w:hint="default" w:ascii="Times New Roman" w:hAnsi="Times New Roman" w:eastAsia="方正仿宋简体" w:cs="Times New Roman"/>
          <w:sz w:val="32"/>
          <w:szCs w:val="32"/>
          <w:lang w:val="en-US" w:eastAsia="zh-CN"/>
        </w:rPr>
        <w:t>，现任</w:t>
      </w:r>
      <w:r>
        <w:rPr>
          <w:rFonts w:hint="default" w:ascii="Times New Roman" w:hAnsi="Times New Roman" w:eastAsia="方正仿宋简体" w:cs="Times New Roman"/>
          <w:b/>
          <w:bCs/>
          <w:sz w:val="32"/>
          <w:szCs w:val="32"/>
          <w:lang w:val="en-US" w:eastAsia="zh-CN"/>
        </w:rPr>
        <w:t>西藏出入境边防检查总站林芝支队一级警司，三级警长</w:t>
      </w:r>
      <w:r>
        <w:rPr>
          <w:rFonts w:hint="default" w:ascii="Times New Roman" w:hAnsi="Times New Roman" w:eastAsia="方正仿宋简体" w:cs="Times New Roman"/>
          <w:sz w:val="32"/>
          <w:szCs w:val="32"/>
          <w:lang w:val="en-US" w:eastAsia="zh-CN"/>
        </w:rPr>
        <w:t>。</w:t>
      </w:r>
    </w:p>
    <w:p w14:paraId="21C2EE45">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一、  梦起杏林  心栖高原</w:t>
      </w:r>
    </w:p>
    <w:p w14:paraId="6FDEACA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在成都中医药大学就读期间，孙震加入了校国旗班和心理协会。在校国旗班里，严寒酷暑下的日日训练使他切身体会到“坚守”二字的分量；在心理协会里，对同学的心理帮助让他萌生了作为医者“身心共治”的想法。在大学校园的学习时光里，“厚德博学，精思笃行”校训已悄然扎根在孙震心里。他感悟到：“医者的价值不仅在于治病救人，更在于将所学的知识服务于最需要的地方。”本科毕业后，他毅然选择远赴雪域高原，扎根基层工作。“高原虽苦，但那里有无数因医疗资源匮乏而挣扎的生命。”孙震感慨道，“作为一名护理学专业的毕业生，我认为自己有责任将专业知识带到祖国边疆，用行动诠释‘大医精诚’的真谛。”</w:t>
      </w:r>
    </w:p>
    <w:p w14:paraId="21D15AE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起初，孙震的决定并没有得到家人的支持。他的母亲曾含泪问他：“高原那么苦，你能撑得住吗？” 迷茫之际，孙震想到大学老师“医学的终极目标是救人于危难”的教诲，想到面对挫折困难也从未想过放弃的国旗班训练……过往的种种给予了他前进的力量，他坚定地表示：“如果连医者都畏惧艰险，那些身处绝境的人又该向谁求助？”最终，带着家人的理解与母校的支持，孙震义无反顾地踏上了高原的土地。</w:t>
      </w:r>
    </w:p>
    <w:p w14:paraId="75C2D5A4">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二、雪域援厄  勇而有谋</w:t>
      </w:r>
    </w:p>
    <w:p w14:paraId="1DD8C8A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高原极端的自然环境很快让孙震真切地感受到理想与现实的出入。在阿里高原夜间救援时，他常因缺氧、迷路等突发状况，陷入困境</w:t>
      </w:r>
      <w:r>
        <w:rPr>
          <w:rFonts w:hint="eastAsia" w:ascii="Times New Roman" w:hAnsi="Times New Roman" w:eastAsia="方正仿宋简体" w:cs="Times New Roman"/>
          <w:b w:val="0"/>
          <w:bCs w:val="0"/>
          <w:sz w:val="32"/>
          <w:szCs w:val="32"/>
          <w:lang w:val="en-US" w:eastAsia="zh-CN"/>
        </w:rPr>
        <w:t>；</w:t>
      </w:r>
      <w:r>
        <w:rPr>
          <w:rFonts w:hint="default" w:ascii="Times New Roman" w:hAnsi="Times New Roman" w:eastAsia="方正仿宋简体" w:cs="Times New Roman"/>
          <w:b w:val="0"/>
          <w:bCs w:val="0"/>
          <w:sz w:val="32"/>
          <w:szCs w:val="32"/>
          <w:lang w:val="en-US" w:eastAsia="zh-CN"/>
        </w:rPr>
        <w:t>在墨脱，也常遇泥石流等自然灾害，瞬间被阻断所有前进的道路。面对技术不足与资源匮乏的两难处境，孙震又一次想起了母校“精思笃行”的教诲，因此转而用经验弥补短板。他将实验课训练的“节奏感”应用于急救，确保操作快而不乱；又汲取心理协会的疏导技巧，安抚受困群众的恐慌情绪。他说道：“每一次突破困境，都是对初心的坚守。”   </w:t>
      </w:r>
    </w:p>
    <w:p w14:paraId="06AC37C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2015年，一场惊心动魄的生死救援让孙震深刻体会到了医者使命的重量。在冈仁波齐卓玛拉山口，一名印度香客突发高原肺水肿，咳出粉红色泡沫痰，命悬一线。时值深夜，阿里却并没有路灯，加之该地气温极低，他与战友仅借着手电筒微光和月光进行救援。在迷路多次后，终于找到患者并紧急转移。通过高流量的吸氧和药物治疗，三天后患者康复，用生硬的中文对他们道出“谢谢”。同年，在墨脱泥石流的救援中，孙震毅然冒雨徒步穿越塌方区，救出被困村民。事后，一位藏族老人紧握他的手说：“金珠玛米亚古都（军人好）。”这些真挚的道谢如晨曦初光，温暖了孙震被暴雨淋湿的身体，也让他愈发坚定自己扎根基层的决心。</w:t>
      </w:r>
    </w:p>
    <w:p w14:paraId="2DEF1065">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三、身兼双职  步履不停</w:t>
      </w:r>
    </w:p>
    <w:p w14:paraId="1FE6A7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自2018年6月起，孙震便兼任西藏出入境边防检查总站林芝支队移民警察与军医的双重职位，在职期间，他始终以最高的标准严格要求自己，恪尽职守。双重身份意味着双重责任，他既需要处理外伤急救，又要参与边境的巡逻防控。艰巨且繁重的执勤任务带来的不仅是严重的体力消耗，还有应对多变环境的巨大心理压力。但基于母校成都中医药大学“理论与实践并重”的理念，孙震将挑战转化为动力——将警务急救编成教案，通过模拟实训提升队伍应急能力；下乡义诊时，结合治安巡查收集民情，实现医疗与警务资源联动。“虽然过程艰难险阻，但是当我看到群众信任的眼神时，便觉得一切都值得了。”孙震笑着说。</w:t>
      </w:r>
    </w:p>
    <w:p w14:paraId="67FA23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藏工作的这些年间，孙震累计救治2000余人次。于他而言，最大的收获就是“被需要”的幸福。他主导制定的应急预案使墨脱灾害伤亡率显著下降，他个人还获评“民族团结先进个人”和“基层就业卓越奖”，但更让他引以为豪的是自己见证了边疆医疗条件的改善，同时也带动了一批年轻战友投身急救培训。</w:t>
      </w:r>
    </w:p>
    <w:p w14:paraId="3698C6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十年时间转瞬即逝，回首往昔，孙震感叹道，“边疆磨砺了我，也重塑了我，更洗涤了我。”从一名医学生到边境警医，从升旗手到神山的守护者，他始终以自己坚定不移的信念与尽心竭力的行动，躬身践行，淋漓尽致地诠释了何为担当与使命。这段披星戴月的工作经历，也让孙震深刻体会到：“真正的‘卓越’不是个人成就，而是让更多人因你的存在而获得希望。”</w:t>
      </w:r>
    </w:p>
    <w:p w14:paraId="0BC4B892">
      <w:pPr>
        <w:ind w:firstLine="720" w:firstLineChars="200"/>
        <w:rPr>
          <w:rFonts w:hint="default" w:ascii="Times New Roman" w:hAnsi="Times New Roman" w:eastAsia="方正仿宋简体" w:cs="Times New Roman"/>
          <w:sz w:val="36"/>
          <w:szCs w:val="36"/>
          <w:lang w:val="en-US" w:eastAsia="zh-CN"/>
        </w:rPr>
      </w:pPr>
      <w:r>
        <w:rPr>
          <w:rFonts w:hint="default" w:ascii="Times New Roman" w:hAnsi="Times New Roman" w:eastAsia="方正仿宋简体" w:cs="Times New Roman"/>
          <w:sz w:val="36"/>
          <w:szCs w:val="36"/>
          <w:lang w:val="en-US" w:eastAsia="zh-CN"/>
        </w:rPr>
        <w:br w:type="page"/>
      </w:r>
    </w:p>
    <w:p w14:paraId="7617E851">
      <w:pPr>
        <w:pStyle w:val="2"/>
        <w:pageBreakBefore w:val="0"/>
        <w:kinsoku/>
        <w:wordWrap/>
        <w:overflowPunct/>
        <w:topLinePunct w:val="0"/>
        <w:autoSpaceDE/>
        <w:autoSpaceDN/>
        <w:bidi w:val="0"/>
        <w:adjustRightInd/>
        <w:snapToGrid/>
        <w:spacing w:before="0" w:after="0" w:line="560" w:lineRule="exact"/>
        <w:textAlignment w:val="auto"/>
        <w:rPr>
          <w:rFonts w:hint="eastAsia"/>
          <w:lang w:val="en-US" w:eastAsia="zh-CN"/>
        </w:rPr>
      </w:pPr>
      <w:bookmarkStart w:id="12" w:name="_Toc10230"/>
      <w:r>
        <w:rPr>
          <w:rFonts w:hint="eastAsia"/>
          <w:lang w:val="en-US" w:eastAsia="zh-CN"/>
        </w:rPr>
        <w:t>毕业生案例八（基层项目，“三支一扶”等）</w:t>
      </w:r>
      <w:bookmarkEnd w:id="12"/>
    </w:p>
    <w:p w14:paraId="4602AF8A">
      <w:pPr>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梁驹</w:t>
      </w:r>
      <w:r>
        <w:rPr>
          <w:rFonts w:hint="eastAsia" w:ascii="Times New Roman" w:hAnsi="Times New Roman" w:eastAsia="方正仿宋简体" w:cs="Times New Roman"/>
          <w:sz w:val="32"/>
          <w:szCs w:val="32"/>
          <w:lang w:val="en-US" w:eastAsia="zh-CN"/>
        </w:rPr>
        <w:t>，男，</w:t>
      </w:r>
      <w:r>
        <w:rPr>
          <w:rFonts w:hint="default" w:ascii="Times New Roman" w:hAnsi="Times New Roman" w:eastAsia="方正仿宋简体" w:cs="Times New Roman"/>
          <w:b/>
          <w:bCs/>
          <w:sz w:val="32"/>
          <w:szCs w:val="32"/>
          <w:lang w:val="en-US" w:eastAsia="zh-CN"/>
        </w:rPr>
        <w:t>广西医科大学2015届临床医学专业</w:t>
      </w:r>
      <w:r>
        <w:rPr>
          <w:rFonts w:hint="eastAsia" w:ascii="Times New Roman" w:hAnsi="Times New Roman" w:eastAsia="方正仿宋简体" w:cs="Times New Roman"/>
          <w:b/>
          <w:bCs/>
          <w:sz w:val="32"/>
          <w:szCs w:val="32"/>
          <w:lang w:val="en-US" w:eastAsia="zh-CN"/>
        </w:rPr>
        <w:t>毕业生</w:t>
      </w:r>
      <w:r>
        <w:rPr>
          <w:rFonts w:hint="eastAsia" w:ascii="Times New Roman" w:hAnsi="Times New Roman" w:eastAsia="方正仿宋简体" w:cs="Times New Roman"/>
          <w:sz w:val="32"/>
          <w:szCs w:val="32"/>
          <w:lang w:val="en-US" w:eastAsia="zh-CN"/>
        </w:rPr>
        <w:t>，国家第一批农村订单定向全科医学生，2018年，在结束5年的本科学习和3年的柳州市人民医院住院医生规范化培训后，他主动选择回到家乡广西壮族自治区融水苗族自治县</w:t>
      </w:r>
      <w:r>
        <w:rPr>
          <w:rFonts w:hint="eastAsia" w:ascii="Times New Roman" w:hAnsi="Times New Roman" w:eastAsia="方正仿宋简体" w:cs="Times New Roman"/>
          <w:b/>
          <w:bCs/>
          <w:sz w:val="32"/>
          <w:szCs w:val="32"/>
          <w:lang w:val="en-US" w:eastAsia="zh-CN"/>
        </w:rPr>
        <w:t>最偏远的乡镇——杆洞乡卫生院</w:t>
      </w:r>
      <w:r>
        <w:rPr>
          <w:rFonts w:hint="eastAsia" w:ascii="Times New Roman" w:hAnsi="Times New Roman" w:eastAsia="方正仿宋简体" w:cs="Times New Roman"/>
          <w:sz w:val="32"/>
          <w:szCs w:val="32"/>
          <w:lang w:val="en-US" w:eastAsia="zh-CN"/>
        </w:rPr>
        <w:t>工作。</w:t>
      </w:r>
    </w:p>
    <w:p w14:paraId="20F25926">
      <w:pPr>
        <w:pageBreakBefore w:val="0"/>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一、骑5小时摩托车到工作地点，成为乡卫生院“第一批本科医生”</w:t>
      </w:r>
    </w:p>
    <w:p w14:paraId="44BC12B5">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杆洞乡位于桂黔交界的高寒山区，这里村屯散落、交通不便。与老家——三防镇拉川村河口屯相比，这里的自然环境更为恶劣。他还记得自己和同学骑了5个小时的摩托车，到达距离县城140公里的杆洞乡卫生院后，院长的第一句话就是：“你们是这里的第一批本科医生。”在离开乡村多年后，梁驹重返乡村。他要重新熟悉这里的一切。为尽快适应岗位，做好“基层健康守门人”，梁驹还自学村落土话。</w:t>
      </w:r>
    </w:p>
    <w:p w14:paraId="46A866F2">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尽管乡卫生院大厅的医生介绍栏里贴着梁驹的海报——“广西医科大学毕业”“曾经到柳州市人民医院住培”，有些人看到他是个20多岁的小伙子，难免犹豫。在乡镇，很多群众喜欢找认识的老医生看病——一是觉得熟悉，二是觉得经验足、看得好。但是梁驹“不抱怨、不任性、不摆架子，适应基层的工作条件”。他主动问诊患者，提供医疗帮助，甚至给对方留下电话号码，方便日后咨询。对梁驹而言，“最大的落差是乡镇医生的临床思维。”乡镇医生学历起点普遍相对较低，而且由于位置偏远，知识体系更新也较为缓慢。比如，“胃炎也是炎症，都需要消炎”“腿疼就是风湿”已然成为不少老医生轻车熟路的经验。面对落差，梁驹并没有当面说教式地指出老医生的错误，而是沉到工作中，用事实说话。日常查房时，梁驹把学到的循证医学思路运用起来。“诊疗效果好，其他医生也愿意跟着学习请教。”</w:t>
      </w:r>
    </w:p>
    <w:p w14:paraId="1FDCDF8A">
      <w:pPr>
        <w:pageBreakBefore w:val="0"/>
        <w:kinsoku/>
        <w:wordWrap/>
        <w:overflowPunct/>
        <w:topLinePunct w:val="0"/>
        <w:autoSpaceDE/>
        <w:autoSpaceDN/>
        <w:bidi w:val="0"/>
        <w:adjustRightInd/>
        <w:snapToGrid/>
        <w:spacing w:after="0" w:line="56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二、面对同辈落差，发现乡村医疗的“一片蓝海”</w:t>
      </w:r>
    </w:p>
    <w:p w14:paraId="46096E00">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看门诊、管理住院病人、处置小手术、担任副院长，凭着专业知识和热心沟通，梁驹很快独当一面。随着时间的推移，他发现了自己与同届毕业同学的落差——搞临床的同学已经往高精尖方向发展了，而自己平时处理常见病、多发病居多，医疗条件有限，临床专业技术不免存在局限性。</w:t>
      </w:r>
    </w:p>
    <w:p w14:paraId="0296EA9E">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当时，为促进医疗卫生工作重心下移、资源下沉，让“村民小病不出乡，大病不出县”，融水苗族自治县持续推行家庭医生签约服务。这名年轻的基层医院全科医生，兼任家庭医生团队领头人，带着乡村医生、护士和公卫人员，走遍12个行政村、76个自然屯，定期入村开展体检、随访慢性病患者等工作，为全乡2.6万名群众提供普惠医疗服务。慢慢地，梁驹意识到基层全科医生是一片亟待开发的“蓝海”。“在基层做全科医生不只有看病，能做的还有很多”。全科医生作为群众健康的“守门人”，守护着基层疾病预防和重大防疫的“第一关”。在基层久了，梁驹发现重大疾病的早诊早治尤为重要，“有些老人吃过苦，面对病痛异常坚强，不愿意求医问药，就一直挺着。等他们到医院的时候，病情都很严重了”。梁驹觉得“基层工作更不能安于现状，要与时俱进，不断更新知识，时常深入百姓家中，做好健康监测和问诊咨询服务”。</w:t>
      </w:r>
    </w:p>
    <w:p w14:paraId="5DEF044C">
      <w:pPr>
        <w:pageBreakBefore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eastAsia" w:ascii="Times New Roman" w:hAnsi="Times New Roman" w:eastAsia="方正仿宋简体" w:cs="Times New Roman"/>
          <w:b/>
          <w:bCs/>
          <w:sz w:val="32"/>
          <w:szCs w:val="32"/>
          <w:lang w:val="en-US" w:eastAsia="zh-CN"/>
        </w:rPr>
        <w:t>三、</w:t>
      </w:r>
      <w:r>
        <w:rPr>
          <w:rFonts w:hint="default" w:ascii="Times New Roman" w:hAnsi="Times New Roman" w:eastAsia="方正仿宋简体" w:cs="Times New Roman"/>
          <w:b/>
          <w:bCs/>
          <w:sz w:val="32"/>
          <w:szCs w:val="32"/>
          <w:lang w:val="en-US" w:eastAsia="zh-CN"/>
        </w:rPr>
        <w:t>是医生也是老师，在县医院一年培训近1000人次</w:t>
      </w:r>
    </w:p>
    <w:p w14:paraId="3280C121">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从村里考出来上大学，不是不想回乡镇，而是不想一辈子都在乡镇，毕竟这里的专业知识和能力提升空间有限。”梁驹发现，身边很多人都有类似的想法。当地发展紧密型“医共体”模式的消息让梁驹看到了方向。每年，融水县人民医院各科室的副主任医师轮流到他当时所在的乡镇卫生院支援。在他们的专业指导下，梁驹慢慢学到了不少以前未掌握的知识，积累了一些临床救治经验。</w:t>
      </w:r>
    </w:p>
    <w:p w14:paraId="5F9817D7">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2022年6月，已经取得执业医师资格证以及主治医师中级职称的梁驹，进入融水县人民医院事业单位编制的面试环节。而此前，粱驹曾经的住培单位——柳州市人民医院也抛来“橄榄枝”。一番权衡之后，他觉得“县乡基层施展自身创造性和才干的舞台更加广阔”。进入融水县人民医院后，梁驹主动要求到重症医学科。由于基层经验丰富，他还在科教科担任副科长，负责培养助理全科医生。从2019年起，融水县人民医院开始招收第一批助理全科规范化培训学员，目前已有两批全科医生到乡镇卫生院开展工作，近半数已在乡镇卫生院担任骨干。“在乡镇，全科医生必须独当一面。为此，我们开展病例讨论、门诊带教等教学活动，帮助他们树立科学的临床思维和能力。”梁驹每年深入融水县人民医院医共体模式管理下的10个乡镇卫生院，过去一年累计培训指导基层全科医生近1000人次，“不仅要关注业务能力，也要培养沟通表达、融入服务基层的能力”。</w:t>
      </w:r>
    </w:p>
    <w:p w14:paraId="23D36E55">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乡镇带教、治病救人、培养全科医生之外，梁驹还承担起融水县人民医院重症医学科的科研工作。梁驹觉得肩上的担子更重了，过去只能帮助一个乡镇的百姓，现在要指导各个全科医生如何去更好地服务群众，培养更适合基层的全科医生。“基层医疗大有可为，全科医生同样也能在医疗行业里发光发热。”</w:t>
      </w:r>
    </w:p>
    <w:p w14:paraId="629B1C8E">
      <w:pPr>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br w:type="page"/>
      </w:r>
    </w:p>
    <w:p w14:paraId="09D8683D">
      <w:pPr>
        <w:pStyle w:val="2"/>
        <w:bidi w:val="0"/>
        <w:rPr>
          <w:rFonts w:hint="eastAsia"/>
          <w:lang w:val="en-US" w:eastAsia="zh-CN"/>
        </w:rPr>
      </w:pPr>
      <w:bookmarkStart w:id="13" w:name="_Toc4900"/>
      <w:r>
        <w:rPr>
          <w:rFonts w:hint="eastAsia"/>
          <w:lang w:val="en-US" w:eastAsia="zh-CN"/>
        </w:rPr>
        <w:t>毕业生案例九（县级及以下企业单位）</w:t>
      </w:r>
      <w:bookmarkEnd w:id="13"/>
    </w:p>
    <w:p w14:paraId="599CDF6D">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建设高原铁路是中国人的百年梦想。”在中国地质大学（武汉）完成学业后，他加入了中铁第一勘察设计院，成为用脚步丈量、探索铁路线路的“急先锋”，争做有理想、敢担当、能吃苦、肯奋斗的新时代好青年。参加工作8年来，他长期工作在青藏高原铁路勘察设计一线，先后担任多个高原铁路项目地质专业负责人，负责完成了中国交通第一长隧的地质勘察工作，参与研建了复杂艰险山区工程地质遥感技术体系……他为填补行业空白作出突出贡献，他就是中铁第一勘察设计院地质高级工程师，高原铁路勘察设计全线最年轻的技术队长、副总设计师，中国科协青年托举人才，第28届中国青年五四奖章获得者——罗锋。</w:t>
      </w:r>
    </w:p>
    <w:p w14:paraId="7C5F48E3">
      <w:pPr>
        <w:pageBreakBefore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接续星火甘奉献 扎身高原画“天路”</w:t>
      </w:r>
    </w:p>
    <w:p w14:paraId="48CA8504">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罗锋出生于“地质之家”，外公是老一辈地质工作者，曾参与襄渝铁路建设。他的家乡也因通铁路繁华了起来，曾经的小县城沿着铁路线规划了新区。2009年，罗锋报考中国地质大学（武汉），毕业后他毅然选择投身铁路工程地质事业，立志在“交通强国”建设中勇当“开路先锋”。2016年至2018年，先后担任西十铁路、南玉铁路水文地质勘察专业负责人。</w:t>
      </w:r>
    </w:p>
    <w:p w14:paraId="6162CFA7">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2018年，高原重点铁路建设工作全面启动。得知任务消息后，罗锋第一时间写下请战书。“使命落在了我们这一代人的身上，上高原，再造一条‘天路’。”2019年，27岁的罗锋作为全线最年轻的技术队长，承担起了高原重点铁路的地质勘察工作。</w:t>
      </w:r>
    </w:p>
    <w:p w14:paraId="4F7758F4">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2021年7月，习近平总书记在西藏视察时指出：“全国的交通地图就像一幅画，西部留白太大了，将来也要补几笔”。罗锋就是“填补留白”的“画路青年”。</w:t>
      </w:r>
    </w:p>
    <w:p w14:paraId="7295848F">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工作8年间，他已先后参与三条进藏“大动脉”铁路的勘察设计工作，被大家戏称为“罗三藏”。2021年10月，刚刚“下山”的“罗三藏”再次请缨奔赴高原，克服极度的高寒缺氧，联合中科院组成科考队，深入班公湖、喀喇昆仑等无人区，10天辗转跋涉5000公里，翻越10座4500米以上垭口，完成国内首次高原西缘进藏交通廊道科学考察，摸清了制约线路规划的关键地质问题，为规划建设高原铁路提供坚实依据。</w:t>
      </w:r>
    </w:p>
    <w:p w14:paraId="4DB46870">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作为全球海拔最高的铁路，高原重点铁路全长约2000公里，其中60%的路段海拔超过4500米。2023年，罗锋带领团队连续驻守海拔5000米无人区103天，完成5050平方公里地质调绘与遥感解译，准确识别“多年冻土、活动断裂、山地灾害”三大地质风险，超前圆满完成各项勘察任务。</w:t>
      </w:r>
    </w:p>
    <w:p w14:paraId="5C85AF25">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“我们不上，谁上？”这是罗锋常说的一句话，他用实际行动，突破筑路“禁区”，以青春热血，书写勘探奇迹。</w:t>
      </w:r>
    </w:p>
    <w:p w14:paraId="64BEBB16">
      <w:pPr>
        <w:pageBreakBefore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lang w:val="en-US" w:eastAsia="zh-CN"/>
        </w:rPr>
        <w:t>挑战极限再奋斗 勇创一流谋创新</w:t>
      </w:r>
    </w:p>
    <w:p w14:paraId="7F9F2C25">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作为人类文明史上难度最大、最具挑战性的铁路工程，高原铁路建设最为基础且关键的地质勘察，面临“上不去、辨不清、探不深”的“卡脖子”技术困难。</w:t>
      </w:r>
    </w:p>
    <w:p w14:paraId="32E9C531">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上不去怎么办？”在基础设施极其薄弱、现有地质研究程度极低的条件下，罗锋带领团队鏖战1000多个日夜，研建了让地质勘察“开天眼”的多源遥感探测与地质信息融合判识提取技术，征服了一个又一个“无人区”；潜心研发机载LiDAR与倾斜摄影协同的地质灾害识别技术，解译效率提升50%以上，相关技术成果达到国际领先水平并纳入行业规范，彻底解决了“辨不清”的难题；研制了多角度勘探与孔内多参数测试技术，主导创造了工程勘察竖向钻探2219米国际记录及2042米最大埋深地应力测试记录，为制约高原铁路建设最为重要的地质安全问题提供解决方案。</w:t>
      </w:r>
    </w:p>
    <w:p w14:paraId="46EE86EB">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罗锋也承担了素有高原重点铁路“盲肠地段”之称的波密至林芝段勘测工作，主持完成了世界第一高原交通长隧的勘察工作。他独创了“广域避灾-局部优化-少量整治”的避灾选线技术，成功解决易贡隧道构造混杂岩大变形评估等难题，为国家节约了巨额工程投资。</w:t>
      </w:r>
    </w:p>
    <w:p w14:paraId="7D475C28">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罗锋主持或参与各层级科研项目10余项，发表论文13篇，授权专利6项。相关成果获省部级科技奖7项，牵头编制行业团体标准4项，掌握了高原铁路地质勘察核心技术自主知识产权。</w:t>
      </w:r>
    </w:p>
    <w:p w14:paraId="7EF48AB2">
      <w:pPr>
        <w:pageBreakBefore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b/>
          <w:bCs/>
          <w:sz w:val="32"/>
          <w:szCs w:val="32"/>
          <w:lang w:val="en-US" w:eastAsia="zh-CN"/>
        </w:rPr>
        <w:t xml:space="preserve">绿水青山保建设 生态文明促发展 </w:t>
      </w:r>
    </w:p>
    <w:p w14:paraId="78A7341E">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在科技突破的进程里，如何兼顾人文自然关照，也是罗锋思考的课题。每一处选址，都可能成为一次“侵扰”；每一次建设，都意味着一次和生态的对话。</w:t>
      </w:r>
    </w:p>
    <w:p w14:paraId="7144D771">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罗锋在每个项目里都生动践行“绿水青山就是金山银山”的理念。在青藏高原、秦岭等脆弱生态区铁路规划建设中，以绿色发展理念为引领，注重利用专业所长，守护祖国的绿水青山。</w:t>
      </w:r>
    </w:p>
    <w:p w14:paraId="03F018F8">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高原铁路建设中，罗锋作为水文地质专业负责人，一方面通过隧道环境水文地质风险分析评估，有力支撑了铁路地下水水资源论证与保护工作；另一方面，在勘测期间，他组织开展了环保公益活动，以实际行动保护高原绿色生态。在西十高铁，罗锋负责完成了500平方公里岩溶区水文地质选线工作，通过线路优化成功绕避了下游6000人饮用水源地，大幅降低饮用水源枯竭的环境地质风险，以实际行动呵护美丽中国。</w:t>
      </w:r>
    </w:p>
    <w:p w14:paraId="44852C5F">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在无路之境“探路”、于高寒极地“建模”，罗锋以勘探之心、青年之姿、创新之力，为我国高原工程建设技术进步作出突出贡献，以实际行动在推进强国建设、民族复兴伟业中展现青春作为、彰显青春风采、贡献青春力量，奋力书写为中国式现代化挺膺担当的青春篇章。</w:t>
      </w:r>
    </w:p>
    <w:p w14:paraId="141F483E">
      <w:pPr>
        <w:pageBreakBefore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方正仿宋简体" w:cs="Times New Roman"/>
          <w:sz w:val="32"/>
          <w:szCs w:val="32"/>
          <w:lang w:val="en-US" w:eastAsia="zh-CN"/>
        </w:rPr>
      </w:pPr>
    </w:p>
    <w:bookmarkEnd w:id="14"/>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8E47A4-2A06-40B6-8449-47BFA4AA61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embedRegular r:id="rId2" w:fontKey="{09F7FF20-8D5C-48B2-BC24-A95045BA411D}"/>
  </w:font>
  <w:font w:name="方正小标宋简体">
    <w:panose1 w:val="03000509000000000000"/>
    <w:charset w:val="86"/>
    <w:family w:val="script"/>
    <w:pitch w:val="default"/>
    <w:sig w:usb0="00000001" w:usb1="080E0000" w:usb2="00000000" w:usb3="00000000" w:csb0="00040000" w:csb1="00000000"/>
    <w:embedRegular r:id="rId3" w:fontKey="{069CF740-D647-4592-90E3-87FA7E641BE0}"/>
  </w:font>
  <w:font w:name="方正仿宋简体">
    <w:panose1 w:val="03000509000000000000"/>
    <w:charset w:val="86"/>
    <w:family w:val="script"/>
    <w:pitch w:val="default"/>
    <w:sig w:usb0="00000001" w:usb1="080E0000" w:usb2="00000000" w:usb3="00000000" w:csb0="00040000" w:csb1="00000000"/>
    <w:embedRegular r:id="rId4" w:fontKey="{02DE53A3-2ACE-4AF6-ADCC-FBF8608AE2C7}"/>
  </w:font>
  <w:font w:name="仿宋_GB2312">
    <w:panose1 w:val="02010609030101010101"/>
    <w:charset w:val="86"/>
    <w:family w:val="modern"/>
    <w:pitch w:val="default"/>
    <w:sig w:usb0="00000001" w:usb1="080E0000" w:usb2="00000000" w:usb3="00000000" w:csb0="00040000" w:csb1="00000000"/>
    <w:embedRegular r:id="rId5" w:fontKey="{0DE48F49-9C23-4113-AEFE-29206879734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9691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4FCB25">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4FCB25">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355"/>
    <w:rsid w:val="000C0F1F"/>
    <w:rsid w:val="000C4C6A"/>
    <w:rsid w:val="000E1209"/>
    <w:rsid w:val="00100C97"/>
    <w:rsid w:val="00184871"/>
    <w:rsid w:val="001A269A"/>
    <w:rsid w:val="002762BC"/>
    <w:rsid w:val="00295F68"/>
    <w:rsid w:val="00382355"/>
    <w:rsid w:val="004D55D9"/>
    <w:rsid w:val="005D6889"/>
    <w:rsid w:val="006A13AF"/>
    <w:rsid w:val="00803CEF"/>
    <w:rsid w:val="008A2386"/>
    <w:rsid w:val="00A73348"/>
    <w:rsid w:val="00A952B9"/>
    <w:rsid w:val="00B77490"/>
    <w:rsid w:val="00DE4DBB"/>
    <w:rsid w:val="00F5385D"/>
    <w:rsid w:val="00FC3486"/>
    <w:rsid w:val="03575436"/>
    <w:rsid w:val="0B9C64FA"/>
    <w:rsid w:val="0D745991"/>
    <w:rsid w:val="101738D4"/>
    <w:rsid w:val="1567013B"/>
    <w:rsid w:val="19573697"/>
    <w:rsid w:val="24C8142B"/>
    <w:rsid w:val="25727D5D"/>
    <w:rsid w:val="2AD31921"/>
    <w:rsid w:val="457D7DF4"/>
    <w:rsid w:val="47D92E9E"/>
    <w:rsid w:val="4CFA0472"/>
    <w:rsid w:val="4F1C1FAB"/>
    <w:rsid w:val="67F141D9"/>
    <w:rsid w:val="70D32F6E"/>
    <w:rsid w:val="77263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21"/>
    <w:qFormat/>
    <w:uiPriority w:val="9"/>
    <w:pPr>
      <w:keepNext/>
      <w:keepLines/>
      <w:spacing w:before="480" w:after="80"/>
      <w:jc w:val="center"/>
      <w:outlineLvl w:val="0"/>
    </w:pPr>
    <w:rPr>
      <w:rFonts w:eastAsia="黑体" w:asciiTheme="majorAscii" w:hAnsiTheme="majorAscii" w:cstheme="majorBidi"/>
      <w:color w:val="000000" w:themeColor="text1"/>
      <w:sz w:val="36"/>
      <w:szCs w:val="48"/>
      <w14:textFill>
        <w14:solidFill>
          <w14:schemeClr w14:val="tx1"/>
        </w14:solidFill>
      </w14:textFill>
    </w:rPr>
  </w:style>
  <w:style w:type="paragraph" w:styleId="3">
    <w:name w:val="heading 2"/>
    <w:basedOn w:val="1"/>
    <w:next w:val="1"/>
    <w:link w:val="22"/>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3"/>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4"/>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5"/>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6"/>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7"/>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8"/>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9"/>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rPr>
  </w:style>
  <w:style w:type="paragraph" w:styleId="1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semiHidden/>
    <w:unhideWhenUsed/>
    <w:qFormat/>
    <w:uiPriority w:val="39"/>
  </w:style>
  <w:style w:type="paragraph" w:styleId="14">
    <w:name w:val="Subtitle"/>
    <w:basedOn w:val="1"/>
    <w:next w:val="1"/>
    <w:link w:val="31"/>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6">
    <w:name w:val="Title"/>
    <w:basedOn w:val="1"/>
    <w:next w:val="1"/>
    <w:link w:val="30"/>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9">
    <w:name w:val="Strong"/>
    <w:basedOn w:val="18"/>
    <w:qFormat/>
    <w:uiPriority w:val="22"/>
    <w:rPr>
      <w:b/>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customStyle="1" w:styleId="21">
    <w:name w:val="标题 1 字符"/>
    <w:basedOn w:val="18"/>
    <w:link w:val="2"/>
    <w:qFormat/>
    <w:uiPriority w:val="9"/>
    <w:rPr>
      <w:rFonts w:eastAsia="黑体" w:asciiTheme="majorAscii" w:hAnsiTheme="majorAscii" w:cstheme="majorBidi"/>
      <w:color w:val="000000" w:themeColor="text1"/>
      <w:sz w:val="36"/>
      <w:szCs w:val="48"/>
      <w14:textFill>
        <w14:solidFill>
          <w14:schemeClr w14:val="tx1"/>
        </w14:solidFill>
      </w14:textFill>
    </w:rPr>
  </w:style>
  <w:style w:type="character" w:customStyle="1" w:styleId="22">
    <w:name w:val="标题 2 字符"/>
    <w:basedOn w:val="18"/>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3">
    <w:name w:val="标题 3 字符"/>
    <w:basedOn w:val="18"/>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4">
    <w:name w:val="标题 4 字符"/>
    <w:basedOn w:val="18"/>
    <w:link w:val="5"/>
    <w:semiHidden/>
    <w:qFormat/>
    <w:uiPriority w:val="9"/>
    <w:rPr>
      <w:rFonts w:cstheme="majorBidi"/>
      <w:color w:val="2F5597" w:themeColor="accent1" w:themeShade="BF"/>
      <w:sz w:val="28"/>
      <w:szCs w:val="28"/>
    </w:rPr>
  </w:style>
  <w:style w:type="character" w:customStyle="1" w:styleId="25">
    <w:name w:val="标题 5 字符"/>
    <w:basedOn w:val="18"/>
    <w:link w:val="6"/>
    <w:semiHidden/>
    <w:qFormat/>
    <w:uiPriority w:val="9"/>
    <w:rPr>
      <w:rFonts w:cstheme="majorBidi"/>
      <w:color w:val="2F5597" w:themeColor="accent1" w:themeShade="BF"/>
      <w:sz w:val="24"/>
    </w:rPr>
  </w:style>
  <w:style w:type="character" w:customStyle="1" w:styleId="26">
    <w:name w:val="标题 6 字符"/>
    <w:basedOn w:val="18"/>
    <w:link w:val="7"/>
    <w:semiHidden/>
    <w:qFormat/>
    <w:uiPriority w:val="9"/>
    <w:rPr>
      <w:rFonts w:cstheme="majorBidi"/>
      <w:b/>
      <w:bCs/>
      <w:color w:val="2F5597" w:themeColor="accent1" w:themeShade="BF"/>
    </w:rPr>
  </w:style>
  <w:style w:type="character" w:customStyle="1" w:styleId="27">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8">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9">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0">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31">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2">
    <w:name w:val="Quote"/>
    <w:basedOn w:val="1"/>
    <w:next w:val="1"/>
    <w:link w:val="33"/>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3">
    <w:name w:val="引用 字符"/>
    <w:basedOn w:val="18"/>
    <w:link w:val="32"/>
    <w:qFormat/>
    <w:uiPriority w:val="29"/>
    <w:rPr>
      <w:i/>
      <w:iCs/>
      <w:color w:val="404040" w:themeColor="text1" w:themeTint="BF"/>
      <w14:textFill>
        <w14:solidFill>
          <w14:schemeClr w14:val="tx1">
            <w14:lumMod w14:val="75000"/>
            <w14:lumOff w14:val="25000"/>
          </w14:schemeClr>
        </w14:solidFill>
      </w14:textFill>
    </w:rPr>
  </w:style>
  <w:style w:type="paragraph" w:styleId="34">
    <w:name w:val="List Paragraph"/>
    <w:basedOn w:val="1"/>
    <w:qFormat/>
    <w:uiPriority w:val="34"/>
    <w:pPr>
      <w:ind w:left="720"/>
      <w:contextualSpacing/>
    </w:pPr>
  </w:style>
  <w:style w:type="character" w:customStyle="1" w:styleId="35">
    <w:name w:val="明显强调1"/>
    <w:basedOn w:val="18"/>
    <w:qFormat/>
    <w:uiPriority w:val="21"/>
    <w:rPr>
      <w:i/>
      <w:iCs/>
      <w:color w:val="2F5597" w:themeColor="accent1" w:themeShade="BF"/>
    </w:rPr>
  </w:style>
  <w:style w:type="paragraph" w:styleId="36">
    <w:name w:val="Intense Quote"/>
    <w:basedOn w:val="1"/>
    <w:next w:val="1"/>
    <w:link w:val="37"/>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7">
    <w:name w:val="明显引用 字符"/>
    <w:basedOn w:val="18"/>
    <w:link w:val="36"/>
    <w:qFormat/>
    <w:uiPriority w:val="30"/>
    <w:rPr>
      <w:i/>
      <w:iCs/>
      <w:color w:val="2F5597" w:themeColor="accent1" w:themeShade="BF"/>
    </w:rPr>
  </w:style>
  <w:style w:type="character" w:customStyle="1" w:styleId="38">
    <w:name w:val="明显参考1"/>
    <w:basedOn w:val="18"/>
    <w:qFormat/>
    <w:uiPriority w:val="32"/>
    <w:rPr>
      <w:b/>
      <w:bCs/>
      <w:smallCaps/>
      <w:color w:val="2F5597" w:themeColor="accent1" w:themeShade="BF"/>
      <w:spacing w:val="5"/>
    </w:rPr>
  </w:style>
  <w:style w:type="character" w:customStyle="1" w:styleId="39">
    <w:name w:val="未处理的提及1"/>
    <w:basedOn w:val="1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AB3F5D-C1A0-435C-8DF5-53623B619F5E}">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16638</Words>
  <Characters>16989</Characters>
  <Lines>217</Lines>
  <Paragraphs>96</Paragraphs>
  <TotalTime>0</TotalTime>
  <ScaleCrop>false</ScaleCrop>
  <LinksUpToDate>false</LinksUpToDate>
  <CharactersWithSpaces>17048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2025-04-22T12:17:00Z</dcterms:created>
  <dc:creator>Jin YAN</dc:creator>
  <cp:lastModifiedBy>卢浩泽</cp:lastModifiedBy>
  <dcterms:modified xsi:type="dcterms:W3CDTF">2025-04-24T03:20:32Z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eyJoZGlkIjoiZDgzYjUyNzI5MTRkM2Q3MTUwY2U4NWNjNTBjOTIxOGIiLCJ1c2VySWQiOiI2ODUzMjM1OTUifQ==</vt:lpwstr>
  </property>
  <property fmtid="{D5CDD505-2E9C-101B-9397-08002B2CF9AE}" pid="3" name="KSOProductBuildVer">
    <vt:lpwstr>2052-12.1.0.20784</vt:lpwstr>
  </property>
  <property fmtid="{D5CDD505-2E9C-101B-9397-08002B2CF9AE}" pid="4" name="ICV">
    <vt:lpwstr>025E1B00F3E440A5873A216C6ED3AA45_12</vt:lpwstr>
  </property>
</Properties>
</file>